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47611D" w:rsidRPr="00643312" w14:paraId="4C55F5B8" w14:textId="77777777" w:rsidTr="003F697E">
        <w:trPr>
          <w:trHeight w:val="1017"/>
          <w:jc w:val="center"/>
        </w:trPr>
        <w:tc>
          <w:tcPr>
            <w:tcW w:w="11131" w:type="dxa"/>
            <w:gridSpan w:val="3"/>
          </w:tcPr>
          <w:p w14:paraId="7FDCC39F" w14:textId="77777777" w:rsidR="0047611D" w:rsidRPr="00643312" w:rsidRDefault="0047611D" w:rsidP="003F697E">
            <w:pPr>
              <w:ind w:left="733"/>
              <w:rPr>
                <w:i/>
              </w:rPr>
            </w:pPr>
            <w:bookmarkStart w:id="0" w:name="_Hlk89341694"/>
            <w:r w:rsidRPr="00643312">
              <w:rPr>
                <w:i/>
                <w:noProof/>
              </w:rPr>
              <w:drawing>
                <wp:inline distT="0" distB="0" distL="0" distR="0" wp14:anchorId="3E6A52F2" wp14:editId="0FFCF372">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5349ABF0" w14:textId="77777777" w:rsidR="0047611D" w:rsidRPr="00643312" w:rsidRDefault="0047611D" w:rsidP="003F697E">
            <w:pPr>
              <w:ind w:left="45"/>
              <w:rPr>
                <w:i/>
              </w:rPr>
            </w:pPr>
          </w:p>
        </w:tc>
      </w:tr>
      <w:tr w:rsidR="0047611D" w:rsidRPr="00643312" w14:paraId="0D365D24" w14:textId="77777777" w:rsidTr="003F697E">
        <w:trPr>
          <w:trHeight w:val="551"/>
          <w:jc w:val="center"/>
        </w:trPr>
        <w:tc>
          <w:tcPr>
            <w:tcW w:w="4406" w:type="dxa"/>
            <w:vAlign w:val="center"/>
          </w:tcPr>
          <w:p w14:paraId="18C08464" w14:textId="77777777" w:rsidR="0047611D" w:rsidRPr="00643312" w:rsidRDefault="0047611D" w:rsidP="003F697E">
            <w:pPr>
              <w:spacing w:before="160"/>
              <w:ind w:left="733"/>
              <w:rPr>
                <w:b/>
                <w:caps/>
                <w:noProof/>
                <w:sz w:val="20"/>
              </w:rPr>
            </w:pPr>
            <w:r w:rsidRPr="00643312">
              <w:rPr>
                <w:b/>
                <w:color w:val="007681"/>
              </w:rPr>
              <w:t>BUREAU OF FISCAL SERVICES</w:t>
            </w:r>
            <w:r w:rsidRPr="00643312">
              <w:rPr>
                <w:b/>
                <w:caps/>
                <w:noProof/>
                <w:sz w:val="20"/>
              </w:rPr>
              <w:t xml:space="preserve"> </w:t>
            </w:r>
          </w:p>
          <w:p w14:paraId="2CA39D10" w14:textId="77777777" w:rsidR="0047611D" w:rsidRPr="00643312" w:rsidRDefault="0047611D" w:rsidP="003F697E">
            <w:pPr>
              <w:spacing w:before="60"/>
              <w:ind w:left="734"/>
              <w:rPr>
                <w:b/>
                <w:caps/>
                <w:noProof/>
                <w:sz w:val="20"/>
              </w:rPr>
            </w:pPr>
            <w:r w:rsidRPr="00643312">
              <w:rPr>
                <w:b/>
                <w:caps/>
                <w:noProof/>
                <w:sz w:val="20"/>
              </w:rPr>
              <w:t>Procurement Unit</w:t>
            </w:r>
          </w:p>
          <w:p w14:paraId="1BCD3326" w14:textId="77777777" w:rsidR="0047611D" w:rsidRPr="00643312" w:rsidRDefault="0047611D" w:rsidP="003F697E">
            <w:pPr>
              <w:spacing w:before="60"/>
              <w:ind w:left="734"/>
              <w:rPr>
                <w:b/>
                <w:caps/>
                <w:noProof/>
                <w:sz w:val="20"/>
              </w:rPr>
            </w:pPr>
          </w:p>
          <w:p w14:paraId="2A300575" w14:textId="77777777" w:rsidR="0047611D" w:rsidRPr="00643312" w:rsidRDefault="0047611D" w:rsidP="003F697E">
            <w:pPr>
              <w:spacing w:before="60"/>
              <w:ind w:left="734"/>
              <w:rPr>
                <w:b/>
                <w:caps/>
                <w:noProof/>
                <w:sz w:val="20"/>
              </w:rPr>
            </w:pPr>
          </w:p>
        </w:tc>
        <w:tc>
          <w:tcPr>
            <w:tcW w:w="2963" w:type="dxa"/>
            <w:vAlign w:val="center"/>
          </w:tcPr>
          <w:p w14:paraId="0F4E2C61" w14:textId="77777777" w:rsidR="0047611D" w:rsidRPr="00643312" w:rsidRDefault="0047611D" w:rsidP="003F697E">
            <w:pPr>
              <w:ind w:left="250"/>
              <w:rPr>
                <w:noProof/>
              </w:rPr>
            </w:pPr>
          </w:p>
        </w:tc>
        <w:tc>
          <w:tcPr>
            <w:tcW w:w="3762" w:type="dxa"/>
            <w:vAlign w:val="center"/>
          </w:tcPr>
          <w:p w14:paraId="450934AB" w14:textId="77777777" w:rsidR="0047611D" w:rsidRPr="00643312" w:rsidRDefault="0047611D" w:rsidP="003F697E">
            <w:pPr>
              <w:ind w:left="593"/>
              <w:rPr>
                <w:caps/>
                <w:noProof/>
                <w:sz w:val="20"/>
              </w:rPr>
            </w:pPr>
          </w:p>
        </w:tc>
      </w:tr>
    </w:tbl>
    <w:p w14:paraId="799FD975" w14:textId="183DCC69" w:rsidR="0047611D" w:rsidRPr="00713D72" w:rsidRDefault="0047611D" w:rsidP="008A2AEE">
      <w:pPr>
        <w:jc w:val="center"/>
        <w:rPr>
          <w:rFonts w:eastAsia="Calibri"/>
          <w:b/>
          <w:bCs/>
        </w:rPr>
      </w:pPr>
      <w:r>
        <w:rPr>
          <w:rFonts w:eastAsia="Calibri"/>
          <w:b/>
          <w:bCs/>
        </w:rPr>
        <w:t>June 4</w:t>
      </w:r>
      <w:r w:rsidRPr="00713D72">
        <w:rPr>
          <w:rFonts w:eastAsia="Calibri"/>
          <w:b/>
          <w:bCs/>
        </w:rPr>
        <w:t>, 2024</w:t>
      </w:r>
    </w:p>
    <w:p w14:paraId="0466643B" w14:textId="77777777" w:rsidR="0047611D" w:rsidRPr="00713D72" w:rsidRDefault="0047611D" w:rsidP="008A2AEE">
      <w:pPr>
        <w:jc w:val="center"/>
        <w:rPr>
          <w:b/>
        </w:rPr>
      </w:pPr>
    </w:p>
    <w:p w14:paraId="671FCF52" w14:textId="738E3F15" w:rsidR="0047611D" w:rsidRPr="00713D72" w:rsidRDefault="0047611D" w:rsidP="008A2AEE">
      <w:pPr>
        <w:jc w:val="center"/>
        <w:rPr>
          <w:rFonts w:eastAsia="Calibri"/>
          <w:b/>
          <w:bCs/>
        </w:rPr>
      </w:pPr>
      <w:r w:rsidRPr="00713D72">
        <w:rPr>
          <w:rFonts w:eastAsia="Calibri"/>
          <w:b/>
          <w:bCs/>
        </w:rPr>
        <w:t xml:space="preserve">Request for </w:t>
      </w:r>
      <w:r>
        <w:rPr>
          <w:rFonts w:eastAsia="Calibri"/>
          <w:b/>
          <w:bCs/>
        </w:rPr>
        <w:t>Quote</w:t>
      </w:r>
      <w:r w:rsidRPr="00713D72">
        <w:rPr>
          <w:rFonts w:eastAsia="Calibri"/>
          <w:b/>
          <w:bCs/>
        </w:rPr>
        <w:t xml:space="preserve"> (RF</w:t>
      </w:r>
      <w:r>
        <w:rPr>
          <w:rFonts w:eastAsia="Calibri"/>
          <w:b/>
          <w:bCs/>
        </w:rPr>
        <w:t>Q</w:t>
      </w:r>
      <w:r w:rsidRPr="00713D72">
        <w:rPr>
          <w:rFonts w:eastAsia="Calibri"/>
          <w:b/>
          <w:bCs/>
        </w:rPr>
        <w:t>) 2</w:t>
      </w:r>
      <w:r>
        <w:rPr>
          <w:rFonts w:eastAsia="Calibri"/>
          <w:b/>
          <w:bCs/>
        </w:rPr>
        <w:t>4</w:t>
      </w:r>
      <w:r w:rsidRPr="00713D72">
        <w:rPr>
          <w:rFonts w:eastAsia="Calibri"/>
          <w:b/>
          <w:bCs/>
        </w:rPr>
        <w:t>-</w:t>
      </w:r>
      <w:r>
        <w:rPr>
          <w:rFonts w:eastAsia="Calibri"/>
          <w:b/>
          <w:bCs/>
        </w:rPr>
        <w:t>304</w:t>
      </w:r>
      <w:r w:rsidRPr="00713D72">
        <w:rPr>
          <w:rFonts w:eastAsia="Calibri"/>
          <w:b/>
          <w:bCs/>
        </w:rPr>
        <w:t xml:space="preserve"> </w:t>
      </w:r>
    </w:p>
    <w:p w14:paraId="4A617D37" w14:textId="3316F74D" w:rsidR="0047611D" w:rsidRPr="00713D72" w:rsidRDefault="0047611D" w:rsidP="008A2AEE">
      <w:pPr>
        <w:jc w:val="center"/>
        <w:rPr>
          <w:rFonts w:eastAsia="Calibri"/>
          <w:b/>
          <w:bCs/>
        </w:rPr>
      </w:pPr>
      <w:r>
        <w:rPr>
          <w:rFonts w:eastAsia="Calibri"/>
          <w:b/>
          <w:bCs/>
        </w:rPr>
        <w:t>R-Series Courses</w:t>
      </w:r>
    </w:p>
    <w:p w14:paraId="190D8D8F" w14:textId="77777777" w:rsidR="0047611D" w:rsidRPr="00713D72" w:rsidRDefault="0047611D" w:rsidP="008A2AEE">
      <w:pPr>
        <w:jc w:val="center"/>
        <w:rPr>
          <w:rFonts w:eastAsia="Calibri"/>
          <w:b/>
          <w:bCs/>
        </w:rPr>
      </w:pPr>
    </w:p>
    <w:p w14:paraId="6AFA0D2B" w14:textId="6800D291" w:rsidR="0047611D" w:rsidRDefault="0047611D" w:rsidP="008A2AEE">
      <w:pPr>
        <w:jc w:val="center"/>
        <w:rPr>
          <w:rFonts w:eastAsia="Calibri"/>
          <w:b/>
          <w:bCs/>
        </w:rPr>
      </w:pPr>
      <w:r w:rsidRPr="0047611D">
        <w:rPr>
          <w:rFonts w:eastAsia="Calibri"/>
          <w:b/>
          <w:bCs/>
        </w:rPr>
        <w:t>Department Response to Bidder Questions</w:t>
      </w:r>
    </w:p>
    <w:p w14:paraId="76AE4DF2" w14:textId="77777777" w:rsidR="008A2AEE" w:rsidRPr="00713D72" w:rsidRDefault="008A2AEE" w:rsidP="008A2AEE">
      <w:pPr>
        <w:ind w:right="270"/>
        <w:jc w:val="center"/>
        <w:rPr>
          <w:rFonts w:eastAsia="Calibri"/>
          <w:b/>
          <w:bCs/>
        </w:rPr>
      </w:pPr>
    </w:p>
    <w:p w14:paraId="36755F57" w14:textId="77777777" w:rsidR="008A2AEE" w:rsidRDefault="008A2AEE" w:rsidP="0047611D">
      <w:pPr>
        <w:autoSpaceDE w:val="0"/>
        <w:autoSpaceDN w:val="0"/>
        <w:adjustRightInd w:val="0"/>
        <w:spacing w:after="200" w:line="276" w:lineRule="auto"/>
        <w:ind w:right="270"/>
        <w:jc w:val="both"/>
        <w:rPr>
          <w:rFonts w:eastAsia="Calibri"/>
        </w:rPr>
      </w:pPr>
      <w:bookmarkStart w:id="1" w:name="_Hlk3362932"/>
    </w:p>
    <w:p w14:paraId="15D8122D" w14:textId="448B7E34" w:rsidR="0047611D" w:rsidRPr="00713D72" w:rsidRDefault="0047611D" w:rsidP="0047611D">
      <w:pPr>
        <w:autoSpaceDE w:val="0"/>
        <w:autoSpaceDN w:val="0"/>
        <w:adjustRightInd w:val="0"/>
        <w:spacing w:after="200" w:line="276" w:lineRule="auto"/>
        <w:ind w:right="270"/>
        <w:jc w:val="both"/>
        <w:rPr>
          <w:rFonts w:eastAsia="Calibri"/>
        </w:rPr>
      </w:pPr>
      <w:r w:rsidRPr="00713D72">
        <w:rPr>
          <w:rFonts w:eastAsia="Calibri"/>
        </w:rPr>
        <w:t>To All Potential Bidders:</w:t>
      </w:r>
    </w:p>
    <w:p w14:paraId="1D3DFD06" w14:textId="0C17AB74" w:rsidR="0047611D" w:rsidRPr="00713D72" w:rsidRDefault="0047611D" w:rsidP="0047611D">
      <w:pPr>
        <w:autoSpaceDE w:val="0"/>
        <w:autoSpaceDN w:val="0"/>
        <w:spacing w:before="60" w:after="200" w:line="276" w:lineRule="auto"/>
        <w:ind w:right="270"/>
        <w:jc w:val="both"/>
      </w:pPr>
      <w:r w:rsidRPr="00713D72">
        <w:t>Attached are the Department’s Responses to Bidder Questions received for the above referenced RF</w:t>
      </w:r>
      <w:r>
        <w:t>Q</w:t>
      </w:r>
      <w:r w:rsidRPr="00713D72">
        <w:t>.</w:t>
      </w:r>
      <w:bookmarkEnd w:id="1"/>
    </w:p>
    <w:bookmarkEnd w:id="0"/>
    <w:p w14:paraId="4815AA1A" w14:textId="77777777" w:rsidR="008A2AEE" w:rsidRDefault="008A2AEE" w:rsidP="00232085">
      <w:pPr>
        <w:jc w:val="center"/>
        <w:rPr>
          <w:rFonts w:cs="Arial"/>
          <w:sz w:val="20"/>
          <w:szCs w:val="20"/>
        </w:rPr>
        <w:sectPr w:rsidR="008A2AEE" w:rsidSect="008A2AEE">
          <w:footerReference w:type="default" r:id="rId9"/>
          <w:type w:val="continuous"/>
          <w:pgSz w:w="12240" w:h="15840"/>
          <w:pgMar w:top="1440" w:right="1440" w:bottom="1440" w:left="1440" w:header="360" w:footer="360" w:gutter="0"/>
          <w:cols w:space="720"/>
          <w:docGrid w:linePitch="360"/>
        </w:sectPr>
      </w:pPr>
    </w:p>
    <w:p w14:paraId="10D48A79" w14:textId="77777777" w:rsidR="0047611D" w:rsidRDefault="0047611D" w:rsidP="00232085">
      <w:pPr>
        <w:jc w:val="center"/>
        <w:rPr>
          <w:rFonts w:cs="Arial"/>
          <w:sz w:val="20"/>
          <w:szCs w:val="20"/>
        </w:rPr>
        <w:sectPr w:rsidR="0047611D" w:rsidSect="008A2AEE">
          <w:headerReference w:type="default" r:id="rId10"/>
          <w:footerReference w:type="default" r:id="rId11"/>
          <w:pgSz w:w="12240" w:h="15840"/>
          <w:pgMar w:top="288" w:right="720" w:bottom="288" w:left="720" w:header="360" w:footer="360" w:gutter="0"/>
          <w:pgNumType w:start="1"/>
          <w:cols w:space="720"/>
          <w:docGrid w:linePitch="360"/>
        </w:sectPr>
      </w:pPr>
    </w:p>
    <w:tbl>
      <w:tblPr>
        <w:tblpPr w:leftFromText="180" w:rightFromText="180" w:vertAnchor="text" w:tblpY="1"/>
        <w:tblOverlap w:val="never"/>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082"/>
        <w:gridCol w:w="808"/>
        <w:gridCol w:w="4049"/>
        <w:gridCol w:w="4049"/>
      </w:tblGrid>
      <w:tr w:rsidR="008A2AEE" w:rsidRPr="00E91B32" w14:paraId="23AFB78C" w14:textId="77777777" w:rsidTr="00E76D0D">
        <w:trPr>
          <w:tblHeader/>
        </w:trPr>
        <w:tc>
          <w:tcPr>
            <w:tcW w:w="335" w:type="pct"/>
            <w:tcBorders>
              <w:bottom w:val="single" w:sz="8" w:space="0" w:color="000000" w:themeColor="text1"/>
            </w:tcBorders>
            <w:shd w:val="pct20" w:color="auto" w:fill="auto"/>
            <w:vAlign w:val="center"/>
          </w:tcPr>
          <w:p w14:paraId="11D9FFCE" w14:textId="77777777" w:rsidR="00E72567" w:rsidRPr="008A2AEE" w:rsidRDefault="00E72567" w:rsidP="00232085">
            <w:pPr>
              <w:jc w:val="center"/>
              <w:rPr>
                <w:rFonts w:cs="Arial"/>
                <w:b/>
                <w:sz w:val="22"/>
                <w:szCs w:val="22"/>
              </w:rPr>
            </w:pPr>
            <w:r w:rsidRPr="008A2AEE">
              <w:rPr>
                <w:rFonts w:cs="Arial"/>
                <w:sz w:val="22"/>
                <w:szCs w:val="22"/>
              </w:rPr>
              <w:br w:type="page"/>
            </w:r>
            <w:r w:rsidRPr="008A2AEE">
              <w:rPr>
                <w:rFonts w:cs="Arial"/>
                <w:b/>
                <w:sz w:val="22"/>
                <w:szCs w:val="22"/>
              </w:rPr>
              <w:t>#</w:t>
            </w:r>
          </w:p>
        </w:tc>
        <w:tc>
          <w:tcPr>
            <w:tcW w:w="505" w:type="pct"/>
            <w:tcBorders>
              <w:bottom w:val="single" w:sz="8" w:space="0" w:color="000000" w:themeColor="text1"/>
            </w:tcBorders>
            <w:shd w:val="pct20" w:color="auto" w:fill="auto"/>
            <w:vAlign w:val="center"/>
          </w:tcPr>
          <w:p w14:paraId="7337316A" w14:textId="69BE7484" w:rsidR="00E72567" w:rsidRPr="008A2AEE" w:rsidRDefault="00E72567" w:rsidP="00232085">
            <w:pPr>
              <w:jc w:val="center"/>
              <w:rPr>
                <w:rFonts w:cs="Arial"/>
                <w:b/>
                <w:sz w:val="22"/>
                <w:szCs w:val="22"/>
              </w:rPr>
            </w:pPr>
            <w:r w:rsidRPr="008A2AEE">
              <w:rPr>
                <w:rFonts w:cs="Arial"/>
                <w:b/>
                <w:sz w:val="22"/>
                <w:szCs w:val="22"/>
              </w:rPr>
              <w:t>RFQ Section</w:t>
            </w:r>
          </w:p>
        </w:tc>
        <w:tc>
          <w:tcPr>
            <w:tcW w:w="377" w:type="pct"/>
            <w:tcBorders>
              <w:bottom w:val="single" w:sz="8" w:space="0" w:color="000000" w:themeColor="text1"/>
            </w:tcBorders>
            <w:shd w:val="pct20" w:color="auto" w:fill="auto"/>
            <w:vAlign w:val="center"/>
          </w:tcPr>
          <w:p w14:paraId="7EEBF685" w14:textId="3DDFF158" w:rsidR="00E72567" w:rsidRPr="008A2AEE" w:rsidRDefault="00E72567" w:rsidP="00232085">
            <w:pPr>
              <w:jc w:val="center"/>
              <w:rPr>
                <w:rFonts w:cs="Arial"/>
                <w:b/>
                <w:sz w:val="22"/>
                <w:szCs w:val="22"/>
              </w:rPr>
            </w:pPr>
            <w:r w:rsidRPr="008A2AEE">
              <w:rPr>
                <w:rFonts w:cs="Arial"/>
                <w:b/>
                <w:sz w:val="22"/>
                <w:szCs w:val="22"/>
              </w:rPr>
              <w:t>Page #</w:t>
            </w:r>
          </w:p>
        </w:tc>
        <w:tc>
          <w:tcPr>
            <w:tcW w:w="1891" w:type="pct"/>
            <w:tcBorders>
              <w:bottom w:val="single" w:sz="8" w:space="0" w:color="000000" w:themeColor="text1"/>
            </w:tcBorders>
            <w:shd w:val="pct20" w:color="auto" w:fill="auto"/>
            <w:vAlign w:val="center"/>
          </w:tcPr>
          <w:p w14:paraId="3CBB19C1" w14:textId="1A1ADDC5" w:rsidR="00E72567" w:rsidRPr="008A2AEE" w:rsidRDefault="00E72567" w:rsidP="00232085">
            <w:pPr>
              <w:jc w:val="center"/>
              <w:rPr>
                <w:rFonts w:cs="Arial"/>
                <w:b/>
                <w:sz w:val="22"/>
                <w:szCs w:val="22"/>
              </w:rPr>
            </w:pPr>
            <w:r w:rsidRPr="008A2AEE">
              <w:rPr>
                <w:rFonts w:cs="Arial"/>
                <w:b/>
                <w:sz w:val="22"/>
                <w:szCs w:val="22"/>
              </w:rPr>
              <w:t>Question</w:t>
            </w:r>
          </w:p>
        </w:tc>
        <w:tc>
          <w:tcPr>
            <w:tcW w:w="1891" w:type="pct"/>
            <w:tcBorders>
              <w:bottom w:val="single" w:sz="8" w:space="0" w:color="000000" w:themeColor="text1"/>
            </w:tcBorders>
            <w:shd w:val="pct20" w:color="auto" w:fill="auto"/>
            <w:vAlign w:val="center"/>
          </w:tcPr>
          <w:p w14:paraId="70D7D914" w14:textId="6C71A28E" w:rsidR="00E72567" w:rsidRPr="008A2AEE" w:rsidRDefault="00E72567" w:rsidP="00232085">
            <w:pPr>
              <w:jc w:val="center"/>
              <w:rPr>
                <w:rFonts w:cs="Arial"/>
                <w:b/>
                <w:sz w:val="22"/>
                <w:szCs w:val="22"/>
              </w:rPr>
            </w:pPr>
            <w:r w:rsidRPr="008A2AEE">
              <w:rPr>
                <w:rFonts w:cs="Arial"/>
                <w:b/>
                <w:sz w:val="22"/>
                <w:szCs w:val="22"/>
              </w:rPr>
              <w:t xml:space="preserve"> Answer</w:t>
            </w:r>
          </w:p>
        </w:tc>
      </w:tr>
      <w:tr w:rsidR="008A2AEE" w:rsidRPr="00E91B32" w14:paraId="0213AB90" w14:textId="77777777" w:rsidTr="00E76D0D">
        <w:tc>
          <w:tcPr>
            <w:tcW w:w="3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D8D674" w14:textId="3C8501D0" w:rsidR="00E72567" w:rsidRPr="008A2AEE" w:rsidRDefault="00E72567" w:rsidP="008A2AEE">
            <w:pPr>
              <w:spacing w:before="120" w:after="120"/>
              <w:jc w:val="center"/>
              <w:rPr>
                <w:rFonts w:cs="Arial"/>
                <w:sz w:val="22"/>
                <w:szCs w:val="22"/>
              </w:rPr>
            </w:pPr>
            <w:r w:rsidRPr="008A2AEE">
              <w:rPr>
                <w:rFonts w:cs="Arial"/>
                <w:sz w:val="22"/>
                <w:szCs w:val="22"/>
              </w:rPr>
              <w:t>1</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A7DDA9" w14:textId="4A88D141" w:rsidR="00E72567" w:rsidRPr="008A2AEE" w:rsidRDefault="00E72567" w:rsidP="008A2AEE">
            <w:pPr>
              <w:spacing w:before="120" w:after="120"/>
              <w:rPr>
                <w:rFonts w:cs="Arial"/>
                <w:color w:val="000000" w:themeColor="text1"/>
                <w:sz w:val="22"/>
                <w:szCs w:val="22"/>
                <w:lang w:eastAsia="fr-CH"/>
              </w:rPr>
            </w:pPr>
            <w:r w:rsidRPr="008A2AEE">
              <w:rPr>
                <w:rFonts w:cs="Arial"/>
                <w:sz w:val="22"/>
                <w:szCs w:val="22"/>
              </w:rPr>
              <w:t>2</w:t>
            </w:r>
          </w:p>
        </w:tc>
        <w:tc>
          <w:tcPr>
            <w:tcW w:w="3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EF54BD" w14:textId="7DD09AA1" w:rsidR="00E72567" w:rsidRPr="008A2AEE" w:rsidRDefault="00E72567" w:rsidP="008A2AEE">
            <w:pPr>
              <w:spacing w:before="120" w:after="120"/>
              <w:jc w:val="center"/>
              <w:rPr>
                <w:rFonts w:cs="Arial"/>
                <w:color w:val="000000" w:themeColor="text1"/>
                <w:sz w:val="22"/>
                <w:szCs w:val="22"/>
                <w:lang w:eastAsia="fr-CH"/>
              </w:rPr>
            </w:pPr>
            <w:r w:rsidRPr="008A2AEE">
              <w:rPr>
                <w:rFonts w:cs="Arial"/>
                <w:sz w:val="22"/>
                <w:szCs w:val="22"/>
              </w:rPr>
              <w:t>5</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F3C8DB" w14:textId="1E98EDA1" w:rsidR="00E72567" w:rsidRPr="008A2AEE" w:rsidRDefault="00E72567" w:rsidP="008A2AEE">
            <w:pPr>
              <w:spacing w:before="120" w:after="120"/>
              <w:jc w:val="both"/>
              <w:rPr>
                <w:rFonts w:cs="Arial"/>
                <w:color w:val="000000" w:themeColor="text1"/>
                <w:sz w:val="22"/>
                <w:szCs w:val="22"/>
                <w:lang w:val="en-GB" w:eastAsia="fr-CH"/>
              </w:rPr>
            </w:pPr>
            <w:r w:rsidRPr="008A2AEE">
              <w:rPr>
                <w:rFonts w:cs="Arial"/>
                <w:sz w:val="22"/>
                <w:szCs w:val="22"/>
              </w:rPr>
              <w:t xml:space="preserve">To avoid printing/shipping fees, may AI provide a print ready file for distribution to students?  </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6D6049" w14:textId="5E0518FC" w:rsidR="00E72567" w:rsidRPr="008A2AEE" w:rsidRDefault="00E72567" w:rsidP="008A2AEE">
            <w:pPr>
              <w:spacing w:before="120" w:after="120"/>
              <w:jc w:val="both"/>
              <w:rPr>
                <w:rFonts w:cs="Arial"/>
                <w:b/>
                <w:bCs/>
                <w:sz w:val="22"/>
                <w:szCs w:val="22"/>
              </w:rPr>
            </w:pPr>
            <w:r w:rsidRPr="008A2AEE">
              <w:rPr>
                <w:rFonts w:cs="Arial"/>
                <w:b/>
                <w:bCs/>
                <w:sz w:val="22"/>
                <w:szCs w:val="22"/>
              </w:rPr>
              <w:t>No, DTF requires printed textbooks.</w:t>
            </w:r>
          </w:p>
        </w:tc>
      </w:tr>
      <w:tr w:rsidR="008A2AEE" w:rsidRPr="00E91B32" w14:paraId="08D9632E" w14:textId="77777777" w:rsidTr="00E76D0D">
        <w:tc>
          <w:tcPr>
            <w:tcW w:w="3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E0B5D4" w14:textId="57BB6A78" w:rsidR="00E72567" w:rsidRPr="008A2AEE" w:rsidRDefault="00E72567" w:rsidP="008A2AEE">
            <w:pPr>
              <w:spacing w:before="120" w:after="120"/>
              <w:jc w:val="center"/>
              <w:rPr>
                <w:rFonts w:cs="Arial"/>
                <w:sz w:val="22"/>
                <w:szCs w:val="22"/>
              </w:rPr>
            </w:pPr>
            <w:r w:rsidRPr="008A2AEE">
              <w:rPr>
                <w:rFonts w:cs="Arial"/>
                <w:sz w:val="22"/>
                <w:szCs w:val="22"/>
              </w:rPr>
              <w:t>2</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AC72BC" w14:textId="7826DA26" w:rsidR="00E72567" w:rsidRPr="008A2AEE" w:rsidRDefault="00E72567" w:rsidP="008A2AEE">
            <w:pPr>
              <w:spacing w:before="120" w:after="120"/>
              <w:rPr>
                <w:rFonts w:cs="Arial"/>
                <w:color w:val="000000" w:themeColor="text1"/>
                <w:sz w:val="22"/>
                <w:szCs w:val="22"/>
                <w:lang w:eastAsia="fr-CH"/>
              </w:rPr>
            </w:pPr>
            <w:r w:rsidRPr="008A2AEE">
              <w:rPr>
                <w:rFonts w:cs="Arial"/>
                <w:sz w:val="22"/>
                <w:szCs w:val="22"/>
              </w:rPr>
              <w:t>2.3</w:t>
            </w:r>
          </w:p>
        </w:tc>
        <w:tc>
          <w:tcPr>
            <w:tcW w:w="3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BA85A4" w14:textId="058BDA7F" w:rsidR="00E72567" w:rsidRPr="008A2AEE" w:rsidRDefault="00E72567" w:rsidP="008A2AEE">
            <w:pPr>
              <w:spacing w:before="120" w:after="120"/>
              <w:jc w:val="center"/>
              <w:rPr>
                <w:rFonts w:cs="Arial"/>
                <w:color w:val="000000" w:themeColor="text1"/>
                <w:sz w:val="22"/>
                <w:szCs w:val="22"/>
                <w:lang w:eastAsia="fr-CH"/>
              </w:rPr>
            </w:pPr>
            <w:r w:rsidRPr="008A2AEE">
              <w:rPr>
                <w:rFonts w:cs="Arial"/>
                <w:sz w:val="22"/>
                <w:szCs w:val="22"/>
              </w:rPr>
              <w:t>4</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0E25FB" w14:textId="6A8F8454" w:rsidR="00E72567" w:rsidRPr="008A2AEE" w:rsidRDefault="00E72567" w:rsidP="008A2AEE">
            <w:pPr>
              <w:spacing w:before="120" w:after="120"/>
              <w:jc w:val="both"/>
              <w:rPr>
                <w:rFonts w:cs="Arial"/>
                <w:color w:val="000000" w:themeColor="text1"/>
                <w:sz w:val="22"/>
                <w:szCs w:val="22"/>
                <w:lang w:val="en-GB" w:eastAsia="fr-CH"/>
              </w:rPr>
            </w:pPr>
            <w:r w:rsidRPr="008A2AEE">
              <w:rPr>
                <w:rFonts w:cs="Arial"/>
                <w:sz w:val="22"/>
                <w:szCs w:val="22"/>
              </w:rPr>
              <w:t>Does NYS DTF want these courses exclusively for their staff only, or can other non-NYS DTF students attend the offerings?</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D3AE7A" w14:textId="3F3CB67A" w:rsidR="00E72567" w:rsidRPr="008A2AEE" w:rsidRDefault="00E72567" w:rsidP="008A2AEE">
            <w:pPr>
              <w:spacing w:before="120" w:after="120"/>
              <w:jc w:val="both"/>
              <w:rPr>
                <w:rFonts w:cs="Arial"/>
                <w:b/>
                <w:bCs/>
                <w:sz w:val="22"/>
                <w:szCs w:val="22"/>
              </w:rPr>
            </w:pPr>
            <w:r w:rsidRPr="008A2AEE">
              <w:rPr>
                <w:rFonts w:cs="Arial"/>
                <w:b/>
                <w:bCs/>
                <w:sz w:val="22"/>
                <w:szCs w:val="22"/>
              </w:rPr>
              <w:t>These courses are for DTF staff only.</w:t>
            </w:r>
          </w:p>
        </w:tc>
      </w:tr>
      <w:tr w:rsidR="008A2AEE" w:rsidRPr="00E91B32" w14:paraId="13AB1B59" w14:textId="77777777" w:rsidTr="00E76D0D">
        <w:tc>
          <w:tcPr>
            <w:tcW w:w="3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8DF113" w14:textId="4BE79C12" w:rsidR="00E72567" w:rsidRPr="008A2AEE" w:rsidRDefault="00E72567" w:rsidP="008A2AEE">
            <w:pPr>
              <w:spacing w:before="120" w:after="120"/>
              <w:jc w:val="center"/>
              <w:rPr>
                <w:rFonts w:cs="Arial"/>
                <w:sz w:val="22"/>
                <w:szCs w:val="22"/>
              </w:rPr>
            </w:pPr>
            <w:r w:rsidRPr="008A2AEE">
              <w:rPr>
                <w:rFonts w:cs="Arial"/>
                <w:sz w:val="22"/>
                <w:szCs w:val="22"/>
              </w:rPr>
              <w:t>3</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66169B" w14:textId="110B2753" w:rsidR="00E72567" w:rsidRPr="008A2AEE" w:rsidRDefault="00E72567" w:rsidP="008A2AEE">
            <w:pPr>
              <w:spacing w:before="120" w:after="120"/>
              <w:rPr>
                <w:rFonts w:cs="Arial"/>
                <w:color w:val="000000" w:themeColor="text1"/>
                <w:sz w:val="22"/>
                <w:szCs w:val="22"/>
                <w:lang w:eastAsia="fr-CH"/>
              </w:rPr>
            </w:pPr>
            <w:r w:rsidRPr="008A2AEE">
              <w:rPr>
                <w:rFonts w:cs="Arial"/>
                <w:sz w:val="22"/>
                <w:szCs w:val="22"/>
              </w:rPr>
              <w:t>2.5</w:t>
            </w:r>
          </w:p>
        </w:tc>
        <w:tc>
          <w:tcPr>
            <w:tcW w:w="3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7E14B1" w14:textId="73F05BD0" w:rsidR="00E72567" w:rsidRPr="008A2AEE" w:rsidRDefault="00E72567" w:rsidP="008A2AEE">
            <w:pPr>
              <w:spacing w:before="120" w:after="120"/>
              <w:jc w:val="center"/>
              <w:rPr>
                <w:rFonts w:cs="Arial"/>
                <w:color w:val="000000" w:themeColor="text1"/>
                <w:sz w:val="22"/>
                <w:szCs w:val="22"/>
                <w:lang w:eastAsia="fr-CH"/>
              </w:rPr>
            </w:pPr>
            <w:r w:rsidRPr="008A2AEE">
              <w:rPr>
                <w:rFonts w:cs="Arial"/>
                <w:sz w:val="22"/>
                <w:szCs w:val="22"/>
              </w:rPr>
              <w:t>5</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AEAFD" w14:textId="23944B97" w:rsidR="00E72567" w:rsidRPr="008A2AEE" w:rsidRDefault="00E72567" w:rsidP="008A2AEE">
            <w:pPr>
              <w:spacing w:before="120" w:after="120"/>
              <w:jc w:val="both"/>
              <w:rPr>
                <w:rFonts w:cs="Arial"/>
                <w:color w:val="000000" w:themeColor="text1"/>
                <w:sz w:val="22"/>
                <w:szCs w:val="22"/>
                <w:lang w:val="en-GB" w:eastAsia="fr-CH"/>
              </w:rPr>
            </w:pPr>
            <w:r w:rsidRPr="008A2AEE">
              <w:rPr>
                <w:rFonts w:cs="Arial"/>
                <w:sz w:val="22"/>
                <w:szCs w:val="22"/>
              </w:rPr>
              <w:t xml:space="preserve">AI provides synchronous training through the </w:t>
            </w:r>
            <w:proofErr w:type="spellStart"/>
            <w:r w:rsidRPr="008A2AEE">
              <w:rPr>
                <w:rFonts w:cs="Arial"/>
                <w:sz w:val="22"/>
                <w:szCs w:val="22"/>
              </w:rPr>
              <w:t>GoToTraining</w:t>
            </w:r>
            <w:proofErr w:type="spellEnd"/>
            <w:r w:rsidRPr="008A2AEE">
              <w:rPr>
                <w:rFonts w:cs="Arial"/>
                <w:sz w:val="22"/>
                <w:szCs w:val="22"/>
              </w:rPr>
              <w:t xml:space="preserve"> platform https://www.goto.com/training. We currently use Zoom only for hour-long webinars. Would NYS DTF be amenable to using </w:t>
            </w:r>
            <w:proofErr w:type="spellStart"/>
            <w:r w:rsidRPr="008A2AEE">
              <w:rPr>
                <w:rFonts w:cs="Arial"/>
                <w:sz w:val="22"/>
                <w:szCs w:val="22"/>
              </w:rPr>
              <w:t>GoToTraining</w:t>
            </w:r>
            <w:proofErr w:type="spellEnd"/>
            <w:r w:rsidRPr="008A2AEE">
              <w:rPr>
                <w:rFonts w:cs="Arial"/>
                <w:sz w:val="22"/>
                <w:szCs w:val="22"/>
              </w:rPr>
              <w:t xml:space="preserve"> for this training, or do you prefer Zoom? If so, we would, of course adapt to your needs.</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45ED3E" w14:textId="732E684A" w:rsidR="00E72567" w:rsidRPr="008A2AEE" w:rsidRDefault="00E72567" w:rsidP="008A2AEE">
            <w:pPr>
              <w:spacing w:before="120" w:after="120"/>
              <w:jc w:val="both"/>
              <w:rPr>
                <w:rFonts w:cs="Arial"/>
                <w:b/>
                <w:bCs/>
                <w:sz w:val="22"/>
                <w:szCs w:val="22"/>
              </w:rPr>
            </w:pPr>
            <w:r w:rsidRPr="008A2AEE">
              <w:rPr>
                <w:rFonts w:cs="Arial"/>
                <w:b/>
                <w:bCs/>
                <w:sz w:val="22"/>
                <w:szCs w:val="22"/>
              </w:rPr>
              <w:t>The class must be livestream, instructor led, on WebEx or Zoom.</w:t>
            </w:r>
          </w:p>
        </w:tc>
      </w:tr>
      <w:tr w:rsidR="008A2AEE" w:rsidRPr="00E91B32" w14:paraId="4B5FA716" w14:textId="77777777" w:rsidTr="00E76D0D">
        <w:tc>
          <w:tcPr>
            <w:tcW w:w="3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214343" w14:textId="384421C9" w:rsidR="00E72567" w:rsidRPr="008A2AEE" w:rsidRDefault="00E72567" w:rsidP="008A2AEE">
            <w:pPr>
              <w:spacing w:before="120" w:after="120"/>
              <w:jc w:val="center"/>
              <w:rPr>
                <w:rFonts w:cs="Arial"/>
                <w:sz w:val="22"/>
                <w:szCs w:val="22"/>
              </w:rPr>
            </w:pPr>
            <w:r w:rsidRPr="008A2AEE">
              <w:rPr>
                <w:rFonts w:cs="Arial"/>
                <w:sz w:val="22"/>
                <w:szCs w:val="22"/>
              </w:rPr>
              <w:t>4</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1E2D2B" w14:textId="2DD74DF9" w:rsidR="00E72567" w:rsidRPr="008A2AEE" w:rsidRDefault="00E72567" w:rsidP="008A2AEE">
            <w:pPr>
              <w:spacing w:before="120" w:after="120"/>
              <w:rPr>
                <w:rFonts w:cs="Arial"/>
                <w:sz w:val="22"/>
                <w:szCs w:val="22"/>
              </w:rPr>
            </w:pPr>
            <w:r w:rsidRPr="008A2AEE">
              <w:rPr>
                <w:rFonts w:cs="Arial"/>
                <w:color w:val="000000" w:themeColor="text1"/>
                <w:sz w:val="22"/>
                <w:szCs w:val="22"/>
                <w:lang w:eastAsia="fr-CH"/>
              </w:rPr>
              <w:t>2.6</w:t>
            </w:r>
          </w:p>
        </w:tc>
        <w:tc>
          <w:tcPr>
            <w:tcW w:w="3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B79D92" w14:textId="37D725FF" w:rsidR="00E72567" w:rsidRPr="008A2AEE" w:rsidRDefault="00E72567" w:rsidP="008A2AEE">
            <w:pPr>
              <w:spacing w:before="120" w:after="120"/>
              <w:jc w:val="center"/>
              <w:rPr>
                <w:rFonts w:cs="Arial"/>
                <w:sz w:val="22"/>
                <w:szCs w:val="22"/>
              </w:rPr>
            </w:pPr>
            <w:r w:rsidRPr="008A2AEE">
              <w:rPr>
                <w:rFonts w:cs="Arial"/>
                <w:color w:val="000000" w:themeColor="text1"/>
                <w:sz w:val="22"/>
                <w:szCs w:val="22"/>
                <w:lang w:eastAsia="fr-CH"/>
              </w:rPr>
              <w:t>5</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2BBD95" w14:textId="32AED7E0" w:rsidR="00E72567" w:rsidRPr="008A2AEE" w:rsidRDefault="00E72567" w:rsidP="008A2AEE">
            <w:pPr>
              <w:spacing w:before="120" w:after="120"/>
              <w:jc w:val="both"/>
              <w:rPr>
                <w:rFonts w:cs="Arial"/>
                <w:sz w:val="22"/>
                <w:szCs w:val="22"/>
              </w:rPr>
            </w:pPr>
            <w:r w:rsidRPr="008A2AEE">
              <w:rPr>
                <w:rFonts w:cs="Arial"/>
                <w:color w:val="000000" w:themeColor="text1"/>
                <w:sz w:val="22"/>
                <w:szCs w:val="22"/>
                <w:lang w:val="en-GB" w:eastAsia="fr-CH"/>
              </w:rPr>
              <w:t xml:space="preserve">To avoid exam fees charged by the Pearson Vue testing </w:t>
            </w:r>
            <w:proofErr w:type="spellStart"/>
            <w:r w:rsidRPr="008A2AEE">
              <w:rPr>
                <w:rFonts w:cs="Arial"/>
                <w:color w:val="000000" w:themeColor="text1"/>
                <w:sz w:val="22"/>
                <w:szCs w:val="22"/>
                <w:lang w:val="en-GB" w:eastAsia="fr-CH"/>
              </w:rPr>
              <w:t>center</w:t>
            </w:r>
            <w:proofErr w:type="spellEnd"/>
            <w:r w:rsidRPr="008A2AEE">
              <w:rPr>
                <w:rFonts w:cs="Arial"/>
                <w:color w:val="000000" w:themeColor="text1"/>
                <w:sz w:val="22"/>
                <w:szCs w:val="22"/>
                <w:lang w:val="en-GB" w:eastAsia="fr-CH"/>
              </w:rPr>
              <w:t>, may students take exams (which are mailed back to AI for grading) administered by their supervisors in their office(s)?</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14CF40" w14:textId="27C2523A" w:rsidR="00E72567" w:rsidRPr="008A2AEE" w:rsidRDefault="00E72567" w:rsidP="008A2AEE">
            <w:pPr>
              <w:spacing w:before="120" w:after="120"/>
              <w:jc w:val="both"/>
              <w:rPr>
                <w:rFonts w:cs="Arial"/>
                <w:b/>
                <w:bCs/>
                <w:color w:val="002060"/>
                <w:sz w:val="22"/>
                <w:szCs w:val="22"/>
              </w:rPr>
            </w:pPr>
            <w:r w:rsidRPr="008A2AEE">
              <w:rPr>
                <w:rFonts w:cs="Arial"/>
                <w:b/>
                <w:bCs/>
                <w:sz w:val="22"/>
                <w:szCs w:val="22"/>
              </w:rPr>
              <w:t>DTF requires the testing be provided or facilitated by the Bidder. The testing cost must be included in the response. The exam must satisfy the NYS licensing requirement. If the Bidder has been approved to give the exam and it is recognized by NYS Department of State Licensing, DTF would be okay with the Bidder administering the exam.</w:t>
            </w:r>
          </w:p>
        </w:tc>
      </w:tr>
      <w:tr w:rsidR="008A2AEE" w:rsidRPr="00E91B32" w14:paraId="196365DF" w14:textId="77777777" w:rsidTr="00E76D0D">
        <w:tc>
          <w:tcPr>
            <w:tcW w:w="3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8CD397" w14:textId="6FAC162D" w:rsidR="00E72567" w:rsidRPr="008A2AEE" w:rsidRDefault="00E72567" w:rsidP="008A2AEE">
            <w:pPr>
              <w:spacing w:before="120" w:after="120"/>
              <w:jc w:val="center"/>
              <w:rPr>
                <w:rFonts w:cs="Arial"/>
                <w:sz w:val="22"/>
                <w:szCs w:val="22"/>
              </w:rPr>
            </w:pPr>
            <w:bookmarkStart w:id="2" w:name="_Hlk159504942"/>
            <w:r w:rsidRPr="008A2AEE">
              <w:rPr>
                <w:rFonts w:cs="Arial"/>
                <w:sz w:val="22"/>
                <w:szCs w:val="22"/>
              </w:rPr>
              <w:t>5</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9DFF9B" w14:textId="33951D4C" w:rsidR="00E72567" w:rsidRPr="008A2AEE" w:rsidRDefault="00E72567" w:rsidP="008A2AEE">
            <w:pPr>
              <w:spacing w:before="120" w:after="120"/>
              <w:rPr>
                <w:rFonts w:cs="Arial"/>
                <w:color w:val="000000"/>
                <w:sz w:val="22"/>
                <w:szCs w:val="22"/>
              </w:rPr>
            </w:pPr>
            <w:r w:rsidRPr="008A2AEE">
              <w:rPr>
                <w:rFonts w:cs="Arial"/>
                <w:color w:val="000000" w:themeColor="text1"/>
                <w:sz w:val="22"/>
                <w:szCs w:val="22"/>
                <w:lang w:val="en-GB" w:eastAsia="fr-CH"/>
              </w:rPr>
              <w:t>2.6</w:t>
            </w:r>
          </w:p>
        </w:tc>
        <w:tc>
          <w:tcPr>
            <w:tcW w:w="3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63962D" w14:textId="7A91B74F" w:rsidR="00E72567" w:rsidRPr="008A2AEE" w:rsidRDefault="00E72567" w:rsidP="008A2AEE">
            <w:pPr>
              <w:spacing w:before="120" w:after="120"/>
              <w:jc w:val="center"/>
              <w:rPr>
                <w:rFonts w:cs="Arial"/>
                <w:color w:val="000000"/>
                <w:sz w:val="22"/>
                <w:szCs w:val="22"/>
              </w:rPr>
            </w:pPr>
            <w:r w:rsidRPr="008A2AEE">
              <w:rPr>
                <w:rFonts w:cs="Arial"/>
                <w:color w:val="000000" w:themeColor="text1"/>
                <w:sz w:val="22"/>
                <w:szCs w:val="22"/>
                <w:lang w:eastAsia="fr-CH"/>
              </w:rPr>
              <w:t>5</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853762" w14:textId="113BEE01" w:rsidR="00E72567" w:rsidRPr="008A2AEE" w:rsidRDefault="00E72567" w:rsidP="008A2AEE">
            <w:pPr>
              <w:spacing w:before="120" w:after="120"/>
              <w:jc w:val="both"/>
              <w:rPr>
                <w:rFonts w:cs="Arial"/>
                <w:color w:val="000000" w:themeColor="text1"/>
                <w:sz w:val="22"/>
                <w:szCs w:val="22"/>
                <w:lang w:val="en-GB" w:eastAsia="fr-CH"/>
              </w:rPr>
            </w:pPr>
            <w:r w:rsidRPr="008A2AEE">
              <w:rPr>
                <w:rFonts w:cs="Arial"/>
                <w:color w:val="000000" w:themeColor="text1"/>
                <w:sz w:val="22"/>
                <w:szCs w:val="22"/>
                <w:lang w:val="en-GB" w:eastAsia="fr-CH"/>
              </w:rPr>
              <w:t>Confirming that term “NYS Exam” refers to the exam associated with the course, with the course being submitted by AI (as provider) and approved by the State of New York.</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AA67F7" w14:textId="471E59E5" w:rsidR="00E72567" w:rsidRPr="008A2AEE" w:rsidRDefault="00E72567" w:rsidP="008A2AEE">
            <w:pPr>
              <w:spacing w:before="120" w:after="120"/>
              <w:jc w:val="both"/>
              <w:rPr>
                <w:rFonts w:cs="Arial"/>
                <w:b/>
                <w:bCs/>
                <w:color w:val="002060"/>
                <w:sz w:val="22"/>
                <w:szCs w:val="22"/>
              </w:rPr>
            </w:pPr>
            <w:r w:rsidRPr="008A2AEE">
              <w:rPr>
                <w:rFonts w:cs="Arial"/>
                <w:b/>
                <w:bCs/>
                <w:color w:val="000000" w:themeColor="text1"/>
                <w:sz w:val="22"/>
                <w:szCs w:val="22"/>
              </w:rPr>
              <w:t>Yes, “NYS Exam” refers to the exam associated with each course that satisfies the NYS licensing requirement.</w:t>
            </w:r>
          </w:p>
        </w:tc>
      </w:tr>
      <w:bookmarkEnd w:id="2"/>
      <w:tr w:rsidR="008A2AEE" w:rsidRPr="00E91B32" w14:paraId="442C5C09" w14:textId="77777777" w:rsidTr="00E76D0D">
        <w:tc>
          <w:tcPr>
            <w:tcW w:w="3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7A0284" w14:textId="7F345490" w:rsidR="00E72567" w:rsidRPr="008A2AEE" w:rsidRDefault="00E72567" w:rsidP="008A2AEE">
            <w:pPr>
              <w:spacing w:before="120" w:after="120"/>
              <w:jc w:val="center"/>
              <w:rPr>
                <w:rFonts w:cs="Arial"/>
                <w:sz w:val="22"/>
                <w:szCs w:val="22"/>
              </w:rPr>
            </w:pPr>
            <w:r w:rsidRPr="008A2AEE">
              <w:rPr>
                <w:rFonts w:cs="Arial"/>
                <w:sz w:val="22"/>
                <w:szCs w:val="22"/>
              </w:rPr>
              <w:t>6</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BF5D11" w14:textId="21498435" w:rsidR="00E72567" w:rsidRPr="008A2AEE" w:rsidRDefault="00E72567" w:rsidP="008A2AEE">
            <w:pPr>
              <w:spacing w:before="120" w:after="120"/>
              <w:rPr>
                <w:rFonts w:cs="Arial"/>
                <w:color w:val="000000" w:themeColor="text1"/>
                <w:sz w:val="22"/>
                <w:szCs w:val="22"/>
                <w:lang w:val="en-GB" w:eastAsia="fr-CH"/>
              </w:rPr>
            </w:pPr>
            <w:r w:rsidRPr="008A2AEE">
              <w:rPr>
                <w:rFonts w:cs="Arial"/>
                <w:sz w:val="22"/>
                <w:szCs w:val="22"/>
              </w:rPr>
              <w:t>2.7</w:t>
            </w:r>
          </w:p>
        </w:tc>
        <w:tc>
          <w:tcPr>
            <w:tcW w:w="3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62413A" w14:textId="004E5B05" w:rsidR="00E72567" w:rsidRPr="008A2AEE" w:rsidRDefault="00E72567" w:rsidP="008A2AEE">
            <w:pPr>
              <w:spacing w:before="120" w:after="120"/>
              <w:jc w:val="center"/>
              <w:rPr>
                <w:rFonts w:cs="Arial"/>
                <w:caps/>
                <w:color w:val="000000" w:themeColor="text1"/>
                <w:sz w:val="22"/>
                <w:szCs w:val="22"/>
              </w:rPr>
            </w:pPr>
            <w:r w:rsidRPr="008A2AEE">
              <w:rPr>
                <w:rFonts w:cs="Arial"/>
                <w:sz w:val="22"/>
                <w:szCs w:val="22"/>
              </w:rPr>
              <w:t>5</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79AE30" w14:textId="3446E845" w:rsidR="00E72567" w:rsidRPr="008A2AEE" w:rsidRDefault="00E72567" w:rsidP="008A2AEE">
            <w:pPr>
              <w:spacing w:before="120" w:after="120"/>
              <w:jc w:val="both"/>
              <w:rPr>
                <w:rFonts w:cs="Arial"/>
                <w:color w:val="000000" w:themeColor="text1"/>
                <w:sz w:val="22"/>
                <w:szCs w:val="22"/>
                <w:lang w:val="en-GB" w:eastAsia="fr-CH"/>
              </w:rPr>
            </w:pPr>
            <w:r w:rsidRPr="008A2AEE">
              <w:rPr>
                <w:rFonts w:cs="Arial"/>
                <w:sz w:val="22"/>
                <w:szCs w:val="22"/>
              </w:rPr>
              <w:t>Can any narrative be provided with the Bid?</w:t>
            </w:r>
          </w:p>
        </w:tc>
        <w:tc>
          <w:tcPr>
            <w:tcW w:w="18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1C3BBB" w14:textId="0B74A89C" w:rsidR="00E72567" w:rsidRPr="008A2AEE" w:rsidRDefault="00E72567" w:rsidP="008A2AEE">
            <w:pPr>
              <w:spacing w:before="120" w:after="120"/>
              <w:jc w:val="both"/>
              <w:rPr>
                <w:rFonts w:eastAsia="Calibri" w:cs="Arial"/>
                <w:b/>
                <w:bCs/>
                <w:color w:val="002060"/>
                <w:sz w:val="22"/>
                <w:szCs w:val="22"/>
              </w:rPr>
            </w:pPr>
            <w:r w:rsidRPr="008A2AEE">
              <w:rPr>
                <w:rFonts w:eastAsia="Calibri" w:cs="Arial"/>
                <w:b/>
                <w:bCs/>
                <w:sz w:val="22"/>
                <w:szCs w:val="22"/>
              </w:rPr>
              <w:t>No. All clarifications and exceptions, including those relating to the terms and conditions of this solicitation, are to be resolved prior to the submission of a bid by utilizing the Question and Answer period. Any Bidder-submitted information that conflicts with the RFQ requirements will be disregarded as extraneous.</w:t>
            </w:r>
          </w:p>
        </w:tc>
      </w:tr>
    </w:tbl>
    <w:p w14:paraId="5182FB8F" w14:textId="6AE9FBCF" w:rsidR="00C308E5" w:rsidRPr="002E0AF3" w:rsidRDefault="00C308E5" w:rsidP="002E0AF3">
      <w:pPr>
        <w:spacing w:before="240" w:after="240"/>
        <w:rPr>
          <w:rFonts w:cs="Arial"/>
          <w:sz w:val="16"/>
          <w:szCs w:val="16"/>
        </w:rPr>
      </w:pPr>
    </w:p>
    <w:sectPr w:rsidR="00C308E5" w:rsidRPr="002E0AF3" w:rsidSect="008A2AEE">
      <w:type w:val="continuous"/>
      <w:pgSz w:w="12240" w:h="15840" w:code="1"/>
      <w:pgMar w:top="288" w:right="720" w:bottom="288"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428A" w14:textId="77777777" w:rsidR="00FA702A" w:rsidRDefault="00FA702A" w:rsidP="008B0D31">
      <w:r>
        <w:separator/>
      </w:r>
    </w:p>
  </w:endnote>
  <w:endnote w:type="continuationSeparator" w:id="0">
    <w:p w14:paraId="1C94E25E" w14:textId="77777777" w:rsidR="00FA702A" w:rsidRDefault="00FA702A"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530274"/>
      <w:docPartObj>
        <w:docPartGallery w:val="Page Numbers (Bottom of Page)"/>
        <w:docPartUnique/>
      </w:docPartObj>
    </w:sdtPr>
    <w:sdtEndPr>
      <w:rPr>
        <w:noProof/>
      </w:rPr>
    </w:sdtEndPr>
    <w:sdtContent>
      <w:sdt>
        <w:sdtPr>
          <w:id w:val="-1769616900"/>
          <w:docPartObj>
            <w:docPartGallery w:val="Page Numbers (Top of Page)"/>
            <w:docPartUnique/>
          </w:docPartObj>
        </w:sdtPr>
        <w:sdtEndPr/>
        <w:sdtContent>
          <w:p w14:paraId="37AC8E2D" w14:textId="77777777" w:rsidR="008A2AEE" w:rsidRDefault="008A2AEE" w:rsidP="008A2AEE">
            <w:pPr>
              <w:spacing w:before="200"/>
              <w:ind w:left="-630" w:hanging="90"/>
              <w:jc w:val="right"/>
            </w:pPr>
          </w:p>
          <w:tbl>
            <w:tblPr>
              <w:tblStyle w:val="TableGrid"/>
              <w:tblW w:w="10620" w:type="dxa"/>
              <w:tblInd w:w="-545" w:type="dxa"/>
              <w:tblLook w:val="04A0" w:firstRow="1" w:lastRow="0" w:firstColumn="1" w:lastColumn="0" w:noHBand="0" w:noVBand="1"/>
            </w:tblPr>
            <w:tblGrid>
              <w:gridCol w:w="10620"/>
            </w:tblGrid>
            <w:tr w:rsidR="008A2AEE" w14:paraId="6713B91B" w14:textId="77777777" w:rsidTr="00CB5368">
              <w:tc>
                <w:tcPr>
                  <w:tcW w:w="1062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71D72E2F" w14:textId="77777777" w:rsidR="008A2AEE" w:rsidRPr="00E24A82" w:rsidRDefault="008A2AEE" w:rsidP="008A2AEE">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012E14DC" w14:textId="468B920B" w:rsidR="008A2AEE" w:rsidRPr="001478F6" w:rsidRDefault="00E76D0D" w:rsidP="008A2AEE">
            <w:pPr>
              <w:spacing w:after="160" w:line="259" w:lineRule="auto"/>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85024"/>
      <w:docPartObj>
        <w:docPartGallery w:val="Page Numbers (Bottom of Page)"/>
        <w:docPartUnique/>
      </w:docPartObj>
    </w:sdtPr>
    <w:sdtEndPr>
      <w:rPr>
        <w:noProof/>
      </w:rPr>
    </w:sdtEndPr>
    <w:sdtContent>
      <w:p w14:paraId="39E37D09" w14:textId="77777777" w:rsidR="00E76D0D" w:rsidRDefault="00E76D0D" w:rsidP="00E76D0D">
        <w:pPr>
          <w:spacing w:line="276" w:lineRule="auto"/>
          <w:jc w:val="right"/>
        </w:pPr>
        <w:r>
          <w:t>Questions and Answers</w:t>
        </w:r>
      </w:p>
      <w:p w14:paraId="37188E11" w14:textId="0BCF5574" w:rsidR="008A2AEE" w:rsidRPr="001478F6" w:rsidRDefault="00E76D0D" w:rsidP="00E76D0D">
        <w:pPr>
          <w:pStyle w:val="Footer"/>
          <w:jc w:val="right"/>
        </w:pPr>
        <w:r w:rsidRPr="00CE68A0">
          <w:rPr>
            <w:color w:val="A6A6A6" w:themeColor="background1" w:themeShade="A6"/>
          </w:rPr>
          <w:t>RF</w:t>
        </w:r>
        <w:r>
          <w:rPr>
            <w:color w:val="A6A6A6" w:themeColor="background1" w:themeShade="A6"/>
          </w:rPr>
          <w:t>Q</w:t>
        </w:r>
        <w:r w:rsidRPr="00CE68A0">
          <w:rPr>
            <w:color w:val="A6A6A6" w:themeColor="background1" w:themeShade="A6"/>
          </w:rPr>
          <w:t xml:space="preserve"> </w:t>
        </w:r>
        <w:r>
          <w:rPr>
            <w:color w:val="A6A6A6" w:themeColor="background1" w:themeShade="A6"/>
          </w:rPr>
          <w:t>2</w:t>
        </w:r>
        <w:r>
          <w:rPr>
            <w:color w:val="A6A6A6" w:themeColor="background1" w:themeShade="A6"/>
          </w:rPr>
          <w:t>4</w:t>
        </w:r>
        <w:r>
          <w:rPr>
            <w:color w:val="A6A6A6" w:themeColor="background1" w:themeShade="A6"/>
          </w:rPr>
          <w:t>-</w:t>
        </w:r>
        <w:r>
          <w:rPr>
            <w:color w:val="A6A6A6" w:themeColor="background1" w:themeShade="A6"/>
          </w:rPr>
          <w:t>304</w:t>
        </w:r>
        <w:r>
          <w:rPr>
            <w:color w:val="A6A6A6" w:themeColor="background1" w:themeShade="A6"/>
          </w:rPr>
          <w:t xml:space="preserve"> </w:t>
        </w:r>
        <w:r>
          <w:rPr>
            <w:color w:val="A6A6A6" w:themeColor="background1" w:themeShade="A6"/>
          </w:rPr>
          <w:t>R-Series Courses</w:t>
        </w:r>
        <w:r>
          <w:rPr>
            <w:color w:val="A6A6A6" w:themeColor="background1" w:themeShade="A6"/>
          </w:rPr>
          <w:t xml:space="preserve"> </w:t>
        </w:r>
        <w:r w:rsidRPr="00CE68A0">
          <w:rPr>
            <w:color w:val="A6A6A6" w:themeColor="background1" w:themeShade="A6"/>
          </w:rPr>
          <w:t>|</w:t>
        </w:r>
        <w:r>
          <w:rPr>
            <w:color w:val="A6A6A6" w:themeColor="background1" w:themeShade="A6"/>
          </w:rPr>
          <w:t xml:space="preserve"> </w:t>
        </w:r>
        <w:r w:rsidRPr="00E76D0D">
          <w:t>Page</w:t>
        </w:r>
        <w:r w:rsidRPr="00E76D0D">
          <w:t xml:space="preserve"> </w:t>
        </w:r>
        <w:r w:rsidR="008A2AEE">
          <w:fldChar w:fldCharType="begin"/>
        </w:r>
        <w:r w:rsidR="008A2AEE">
          <w:instrText xml:space="preserve"> PAGE   \* MERGEFORMAT </w:instrText>
        </w:r>
        <w:r w:rsidR="008A2AEE">
          <w:fldChar w:fldCharType="separate"/>
        </w:r>
        <w:r w:rsidR="008A2AEE">
          <w:rPr>
            <w:noProof/>
          </w:rPr>
          <w:t>2</w:t>
        </w:r>
        <w:r w:rsidR="008A2AE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D24B" w14:textId="77777777" w:rsidR="00FA702A" w:rsidRDefault="00FA702A" w:rsidP="008B0D31">
      <w:r>
        <w:separator/>
      </w:r>
    </w:p>
  </w:footnote>
  <w:footnote w:type="continuationSeparator" w:id="0">
    <w:p w14:paraId="6C2E8F8A" w14:textId="77777777" w:rsidR="00FA702A" w:rsidRDefault="00FA702A"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6414" w14:textId="77777777" w:rsidR="008A2AEE" w:rsidRDefault="008A2AEE" w:rsidP="008A2AEE">
    <w:pPr>
      <w:pStyle w:val="Header"/>
      <w:tabs>
        <w:tab w:val="left" w:pos="1080"/>
        <w:tab w:val="left" w:pos="7650"/>
        <w:tab w:val="right" w:pos="9540"/>
      </w:tabs>
      <w:ind w:right="18"/>
      <w:rPr>
        <w:b/>
      </w:rPr>
    </w:pPr>
  </w:p>
  <w:p w14:paraId="4BCE3A4B" w14:textId="77777777" w:rsidR="008A2AEE" w:rsidRPr="008A2AEE" w:rsidRDefault="008A2AEE" w:rsidP="008A2AEE">
    <w:pPr>
      <w:pStyle w:val="Header"/>
      <w:tabs>
        <w:tab w:val="left" w:pos="3794"/>
      </w:tabs>
      <w:ind w:right="18"/>
      <w:jc w:val="center"/>
    </w:pPr>
    <w:r>
      <w:t xml:space="preserve"> </w:t>
    </w:r>
    <w:r w:rsidRPr="00AF57CF">
      <w:t>RFQ 24-304 R-Series Courses</w:t>
    </w:r>
  </w:p>
  <w:p w14:paraId="71403E7E" w14:textId="74388689" w:rsidR="008A2AEE" w:rsidRPr="008A2AEE" w:rsidRDefault="008A2AEE" w:rsidP="008A2AEE">
    <w:pPr>
      <w:ind w:right="18"/>
      <w:jc w:val="center"/>
      <w:rPr>
        <w:rFonts w:eastAsia="Calibri"/>
      </w:rPr>
    </w:pPr>
    <w:r w:rsidRPr="008A2AEE">
      <w:rPr>
        <w:rFonts w:eastAsia="Calibri"/>
      </w:rPr>
      <w:t>Department Response to Bidder Questions</w:t>
    </w:r>
  </w:p>
  <w:p w14:paraId="654C281E" w14:textId="77777777" w:rsidR="008A2AEE" w:rsidRPr="008A2AEE" w:rsidRDefault="008A2AEE" w:rsidP="008A2AEE">
    <w:pPr>
      <w:ind w:right="270"/>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7" w15:restartNumberingAfterBreak="0">
    <w:nsid w:val="2CF27F1E"/>
    <w:multiLevelType w:val="hybridMultilevel"/>
    <w:tmpl w:val="D016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190B40"/>
    <w:multiLevelType w:val="hybridMultilevel"/>
    <w:tmpl w:val="886A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5"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26" w15:restartNumberingAfterBreak="0">
    <w:nsid w:val="7D6E432E"/>
    <w:multiLevelType w:val="multilevel"/>
    <w:tmpl w:val="0CD2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2550122">
    <w:abstractNumId w:val="10"/>
  </w:num>
  <w:num w:numId="2" w16cid:durableId="960958338">
    <w:abstractNumId w:val="3"/>
  </w:num>
  <w:num w:numId="3" w16cid:durableId="580606157">
    <w:abstractNumId w:val="25"/>
  </w:num>
  <w:num w:numId="4" w16cid:durableId="605500820">
    <w:abstractNumId w:val="17"/>
  </w:num>
  <w:num w:numId="5" w16cid:durableId="2078360339">
    <w:abstractNumId w:val="13"/>
  </w:num>
  <w:num w:numId="6" w16cid:durableId="2031056856">
    <w:abstractNumId w:val="24"/>
  </w:num>
  <w:num w:numId="7" w16cid:durableId="1000547950">
    <w:abstractNumId w:val="6"/>
  </w:num>
  <w:num w:numId="8" w16cid:durableId="101146076">
    <w:abstractNumId w:val="2"/>
  </w:num>
  <w:num w:numId="9" w16cid:durableId="757409023">
    <w:abstractNumId w:val="19"/>
  </w:num>
  <w:num w:numId="10" w16cid:durableId="1426152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934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68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001512">
    <w:abstractNumId w:val="4"/>
  </w:num>
  <w:num w:numId="14" w16cid:durableId="16179056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35690">
    <w:abstractNumId w:val="0"/>
  </w:num>
  <w:num w:numId="16" w16cid:durableId="57896806">
    <w:abstractNumId w:val="1"/>
  </w:num>
  <w:num w:numId="17" w16cid:durableId="434641360">
    <w:abstractNumId w:val="15"/>
  </w:num>
  <w:num w:numId="18" w16cid:durableId="567572599">
    <w:abstractNumId w:val="12"/>
  </w:num>
  <w:num w:numId="19" w16cid:durableId="1486237912">
    <w:abstractNumId w:val="23"/>
  </w:num>
  <w:num w:numId="20" w16cid:durableId="1676103275">
    <w:abstractNumId w:val="18"/>
  </w:num>
  <w:num w:numId="21" w16cid:durableId="570191921">
    <w:abstractNumId w:val="8"/>
  </w:num>
  <w:num w:numId="22" w16cid:durableId="518853922">
    <w:abstractNumId w:val="11"/>
  </w:num>
  <w:num w:numId="23" w16cid:durableId="1910844360">
    <w:abstractNumId w:val="9"/>
  </w:num>
  <w:num w:numId="24" w16cid:durableId="1149901969">
    <w:abstractNumId w:val="26"/>
  </w:num>
  <w:num w:numId="25" w16cid:durableId="333846718">
    <w:abstractNumId w:val="22"/>
  </w:num>
  <w:num w:numId="26" w16cid:durableId="1720327067">
    <w:abstractNumId w:val="7"/>
  </w:num>
  <w:num w:numId="27" w16cid:durableId="168397376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21BD9"/>
    <w:rsid w:val="00050FE0"/>
    <w:rsid w:val="00065611"/>
    <w:rsid w:val="00071864"/>
    <w:rsid w:val="000907B0"/>
    <w:rsid w:val="00093C4F"/>
    <w:rsid w:val="00093D3C"/>
    <w:rsid w:val="000A0482"/>
    <w:rsid w:val="000C3826"/>
    <w:rsid w:val="000C6111"/>
    <w:rsid w:val="000D472E"/>
    <w:rsid w:val="000D6FE1"/>
    <w:rsid w:val="000E607B"/>
    <w:rsid w:val="001103DB"/>
    <w:rsid w:val="00120859"/>
    <w:rsid w:val="001216D5"/>
    <w:rsid w:val="00122907"/>
    <w:rsid w:val="001258D5"/>
    <w:rsid w:val="00126149"/>
    <w:rsid w:val="00133F98"/>
    <w:rsid w:val="00144591"/>
    <w:rsid w:val="001478F6"/>
    <w:rsid w:val="00153D7B"/>
    <w:rsid w:val="00162C9C"/>
    <w:rsid w:val="00163E5A"/>
    <w:rsid w:val="0017262D"/>
    <w:rsid w:val="00174E25"/>
    <w:rsid w:val="001816AB"/>
    <w:rsid w:val="00183FEC"/>
    <w:rsid w:val="0018461A"/>
    <w:rsid w:val="0019297E"/>
    <w:rsid w:val="00192E4A"/>
    <w:rsid w:val="001A10A3"/>
    <w:rsid w:val="001A57FD"/>
    <w:rsid w:val="001B2EB4"/>
    <w:rsid w:val="001E77B4"/>
    <w:rsid w:val="001E792E"/>
    <w:rsid w:val="001F40A0"/>
    <w:rsid w:val="00200061"/>
    <w:rsid w:val="002061FE"/>
    <w:rsid w:val="00206F3B"/>
    <w:rsid w:val="00212A95"/>
    <w:rsid w:val="00214F45"/>
    <w:rsid w:val="00230C6F"/>
    <w:rsid w:val="00232085"/>
    <w:rsid w:val="00232DF5"/>
    <w:rsid w:val="00263C94"/>
    <w:rsid w:val="00267225"/>
    <w:rsid w:val="00277A06"/>
    <w:rsid w:val="00285CD0"/>
    <w:rsid w:val="0029250B"/>
    <w:rsid w:val="00295EBD"/>
    <w:rsid w:val="002A5C33"/>
    <w:rsid w:val="002A6D34"/>
    <w:rsid w:val="002A7A23"/>
    <w:rsid w:val="002C2AA6"/>
    <w:rsid w:val="002D3678"/>
    <w:rsid w:val="002E0AF3"/>
    <w:rsid w:val="002F00D4"/>
    <w:rsid w:val="003030B7"/>
    <w:rsid w:val="00311767"/>
    <w:rsid w:val="00312850"/>
    <w:rsid w:val="003129E2"/>
    <w:rsid w:val="00332067"/>
    <w:rsid w:val="003339DF"/>
    <w:rsid w:val="0034171C"/>
    <w:rsid w:val="00346819"/>
    <w:rsid w:val="0035477B"/>
    <w:rsid w:val="00380C0A"/>
    <w:rsid w:val="00390A7B"/>
    <w:rsid w:val="003932CF"/>
    <w:rsid w:val="003D10F1"/>
    <w:rsid w:val="003E7082"/>
    <w:rsid w:val="003E79B5"/>
    <w:rsid w:val="003F2A24"/>
    <w:rsid w:val="003F7668"/>
    <w:rsid w:val="00412CAD"/>
    <w:rsid w:val="00434764"/>
    <w:rsid w:val="00442A38"/>
    <w:rsid w:val="00450372"/>
    <w:rsid w:val="004700E6"/>
    <w:rsid w:val="0047611D"/>
    <w:rsid w:val="004A6583"/>
    <w:rsid w:val="004D4E09"/>
    <w:rsid w:val="004D6472"/>
    <w:rsid w:val="004E445F"/>
    <w:rsid w:val="004E6674"/>
    <w:rsid w:val="004F7527"/>
    <w:rsid w:val="0052196B"/>
    <w:rsid w:val="00527933"/>
    <w:rsid w:val="0053237A"/>
    <w:rsid w:val="00533F2C"/>
    <w:rsid w:val="00541AF9"/>
    <w:rsid w:val="00546285"/>
    <w:rsid w:val="00550E72"/>
    <w:rsid w:val="00552AEC"/>
    <w:rsid w:val="005608F8"/>
    <w:rsid w:val="00562CA5"/>
    <w:rsid w:val="0056750A"/>
    <w:rsid w:val="005810E8"/>
    <w:rsid w:val="005844DB"/>
    <w:rsid w:val="005862EC"/>
    <w:rsid w:val="005900D7"/>
    <w:rsid w:val="005909AB"/>
    <w:rsid w:val="005A027B"/>
    <w:rsid w:val="005A0BB8"/>
    <w:rsid w:val="005B3E20"/>
    <w:rsid w:val="00617CB5"/>
    <w:rsid w:val="00617DDE"/>
    <w:rsid w:val="006327AC"/>
    <w:rsid w:val="00632EDB"/>
    <w:rsid w:val="00643312"/>
    <w:rsid w:val="006502F1"/>
    <w:rsid w:val="0065436A"/>
    <w:rsid w:val="006550BA"/>
    <w:rsid w:val="00660306"/>
    <w:rsid w:val="00663108"/>
    <w:rsid w:val="00667083"/>
    <w:rsid w:val="006915CD"/>
    <w:rsid w:val="00694DC2"/>
    <w:rsid w:val="006A77B3"/>
    <w:rsid w:val="006C43C7"/>
    <w:rsid w:val="006C790D"/>
    <w:rsid w:val="006D3202"/>
    <w:rsid w:val="00741450"/>
    <w:rsid w:val="00745739"/>
    <w:rsid w:val="00765553"/>
    <w:rsid w:val="0076746E"/>
    <w:rsid w:val="00782846"/>
    <w:rsid w:val="00784A4B"/>
    <w:rsid w:val="007A445E"/>
    <w:rsid w:val="007A660D"/>
    <w:rsid w:val="007B4D00"/>
    <w:rsid w:val="007C2BF9"/>
    <w:rsid w:val="007C5D55"/>
    <w:rsid w:val="007E0A42"/>
    <w:rsid w:val="007F3C50"/>
    <w:rsid w:val="007F6555"/>
    <w:rsid w:val="00806257"/>
    <w:rsid w:val="00815750"/>
    <w:rsid w:val="00834390"/>
    <w:rsid w:val="008411E6"/>
    <w:rsid w:val="008420E4"/>
    <w:rsid w:val="0084416B"/>
    <w:rsid w:val="00846EFE"/>
    <w:rsid w:val="0085197A"/>
    <w:rsid w:val="008527D2"/>
    <w:rsid w:val="00867FD2"/>
    <w:rsid w:val="008711CC"/>
    <w:rsid w:val="008772EE"/>
    <w:rsid w:val="0088134C"/>
    <w:rsid w:val="00895D38"/>
    <w:rsid w:val="008A04EA"/>
    <w:rsid w:val="008A26F4"/>
    <w:rsid w:val="008A2AEE"/>
    <w:rsid w:val="008B0D31"/>
    <w:rsid w:val="008B1427"/>
    <w:rsid w:val="008D245D"/>
    <w:rsid w:val="008D311C"/>
    <w:rsid w:val="008E0EA7"/>
    <w:rsid w:val="008E2554"/>
    <w:rsid w:val="008E7C58"/>
    <w:rsid w:val="008F6CBE"/>
    <w:rsid w:val="008F729F"/>
    <w:rsid w:val="009041B3"/>
    <w:rsid w:val="00907151"/>
    <w:rsid w:val="009146F2"/>
    <w:rsid w:val="00946AD8"/>
    <w:rsid w:val="00955B0A"/>
    <w:rsid w:val="009567A7"/>
    <w:rsid w:val="00963FF6"/>
    <w:rsid w:val="00967FD6"/>
    <w:rsid w:val="009B052B"/>
    <w:rsid w:val="009C0F2A"/>
    <w:rsid w:val="009C3231"/>
    <w:rsid w:val="00A01791"/>
    <w:rsid w:val="00A02766"/>
    <w:rsid w:val="00A173D6"/>
    <w:rsid w:val="00A42C61"/>
    <w:rsid w:val="00A55381"/>
    <w:rsid w:val="00A702AE"/>
    <w:rsid w:val="00A87C6F"/>
    <w:rsid w:val="00AA0ED6"/>
    <w:rsid w:val="00AA350D"/>
    <w:rsid w:val="00AA756E"/>
    <w:rsid w:val="00AB07D9"/>
    <w:rsid w:val="00AB41C4"/>
    <w:rsid w:val="00AB450E"/>
    <w:rsid w:val="00AC5760"/>
    <w:rsid w:val="00AD0AEE"/>
    <w:rsid w:val="00AF3BC9"/>
    <w:rsid w:val="00B01A2B"/>
    <w:rsid w:val="00B02B0D"/>
    <w:rsid w:val="00B07FE7"/>
    <w:rsid w:val="00B101FB"/>
    <w:rsid w:val="00B202E9"/>
    <w:rsid w:val="00B30439"/>
    <w:rsid w:val="00B356A5"/>
    <w:rsid w:val="00B37105"/>
    <w:rsid w:val="00B4111D"/>
    <w:rsid w:val="00B530A4"/>
    <w:rsid w:val="00B537A7"/>
    <w:rsid w:val="00B935B4"/>
    <w:rsid w:val="00BB39C9"/>
    <w:rsid w:val="00BC141F"/>
    <w:rsid w:val="00BC7AB7"/>
    <w:rsid w:val="00BD2C79"/>
    <w:rsid w:val="00BF26AD"/>
    <w:rsid w:val="00BF341E"/>
    <w:rsid w:val="00BF4089"/>
    <w:rsid w:val="00C264AE"/>
    <w:rsid w:val="00C308E5"/>
    <w:rsid w:val="00C359CF"/>
    <w:rsid w:val="00C418A7"/>
    <w:rsid w:val="00C538B4"/>
    <w:rsid w:val="00C54B58"/>
    <w:rsid w:val="00C715E2"/>
    <w:rsid w:val="00C71F43"/>
    <w:rsid w:val="00C732B2"/>
    <w:rsid w:val="00C81895"/>
    <w:rsid w:val="00C82D00"/>
    <w:rsid w:val="00CB09DD"/>
    <w:rsid w:val="00CD375C"/>
    <w:rsid w:val="00CF7D0F"/>
    <w:rsid w:val="00D11EB1"/>
    <w:rsid w:val="00D30A17"/>
    <w:rsid w:val="00D3147A"/>
    <w:rsid w:val="00D43710"/>
    <w:rsid w:val="00D538CF"/>
    <w:rsid w:val="00D56D8D"/>
    <w:rsid w:val="00D619E3"/>
    <w:rsid w:val="00D9070A"/>
    <w:rsid w:val="00D90B6F"/>
    <w:rsid w:val="00D91422"/>
    <w:rsid w:val="00DA2132"/>
    <w:rsid w:val="00DA5A04"/>
    <w:rsid w:val="00DB0B70"/>
    <w:rsid w:val="00DB26D5"/>
    <w:rsid w:val="00DC1950"/>
    <w:rsid w:val="00DC68F7"/>
    <w:rsid w:val="00DD1A7A"/>
    <w:rsid w:val="00DD4FB4"/>
    <w:rsid w:val="00DD5340"/>
    <w:rsid w:val="00DD591A"/>
    <w:rsid w:val="00DE3D85"/>
    <w:rsid w:val="00E00934"/>
    <w:rsid w:val="00E02B12"/>
    <w:rsid w:val="00E03FB9"/>
    <w:rsid w:val="00E07450"/>
    <w:rsid w:val="00E24A82"/>
    <w:rsid w:val="00E269FA"/>
    <w:rsid w:val="00E31EC7"/>
    <w:rsid w:val="00E5282D"/>
    <w:rsid w:val="00E62F25"/>
    <w:rsid w:val="00E72567"/>
    <w:rsid w:val="00E73869"/>
    <w:rsid w:val="00E76021"/>
    <w:rsid w:val="00E76D0D"/>
    <w:rsid w:val="00E7725A"/>
    <w:rsid w:val="00E7733E"/>
    <w:rsid w:val="00E91B32"/>
    <w:rsid w:val="00E9626D"/>
    <w:rsid w:val="00EB2373"/>
    <w:rsid w:val="00EB6912"/>
    <w:rsid w:val="00ED053E"/>
    <w:rsid w:val="00EE23F1"/>
    <w:rsid w:val="00F2091B"/>
    <w:rsid w:val="00F2571C"/>
    <w:rsid w:val="00F26534"/>
    <w:rsid w:val="00F8350F"/>
    <w:rsid w:val="00F8499B"/>
    <w:rsid w:val="00FA5FE5"/>
    <w:rsid w:val="00FA702A"/>
    <w:rsid w:val="00FB6F1D"/>
    <w:rsid w:val="00FD7715"/>
    <w:rsid w:val="00FF227F"/>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title"/>
    <w:basedOn w:val="Normal"/>
    <w:link w:val="HeaderChar"/>
    <w:unhideWhenUsed/>
    <w:rsid w:val="008B0D31"/>
    <w:pPr>
      <w:tabs>
        <w:tab w:val="center" w:pos="4680"/>
        <w:tab w:val="right" w:pos="9360"/>
      </w:tabs>
    </w:pPr>
  </w:style>
  <w:style w:type="character" w:customStyle="1" w:styleId="HeaderChar">
    <w:name w:val="Header Char"/>
    <w:aliases w:val="Alt Header Char,title Char"/>
    <w:basedOn w:val="DefaultParagraphFont"/>
    <w:link w:val="Header"/>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unhideWhenUsed/>
    <w:rsid w:val="00541AF9"/>
    <w:rPr>
      <w:sz w:val="20"/>
      <w:szCs w:val="20"/>
    </w:rPr>
  </w:style>
  <w:style w:type="character" w:customStyle="1" w:styleId="CommentTextChar">
    <w:name w:val="Comment Text Char"/>
    <w:basedOn w:val="DefaultParagraphFont"/>
    <w:link w:val="CommentText"/>
    <w:uiPriority w:val="99"/>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91559405">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339355628">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537352657">
      <w:bodyDiv w:val="1"/>
      <w:marLeft w:val="0"/>
      <w:marRight w:val="0"/>
      <w:marTop w:val="0"/>
      <w:marBottom w:val="0"/>
      <w:divBdr>
        <w:top w:val="none" w:sz="0" w:space="0" w:color="auto"/>
        <w:left w:val="none" w:sz="0" w:space="0" w:color="auto"/>
        <w:bottom w:val="none" w:sz="0" w:space="0" w:color="auto"/>
        <w:right w:val="none" w:sz="0" w:space="0" w:color="auto"/>
      </w:divBdr>
    </w:div>
    <w:div w:id="1432240458">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 w:id="17510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Matthew Brownell (TAX)</cp:lastModifiedBy>
  <cp:revision>5</cp:revision>
  <cp:lastPrinted>2020-09-16T20:47:00Z</cp:lastPrinted>
  <dcterms:created xsi:type="dcterms:W3CDTF">2024-05-30T18:22:00Z</dcterms:created>
  <dcterms:modified xsi:type="dcterms:W3CDTF">2024-06-04T15:42:00Z</dcterms:modified>
</cp:coreProperties>
</file>