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8D65" w14:textId="247504D4" w:rsidR="0077268F" w:rsidRDefault="0077268F" w:rsidP="0077268F">
      <w:pPr>
        <w:ind w:left="-720"/>
        <w:rPr>
          <w:rFonts w:eastAsia="Calibri" w:cs="Arial"/>
          <w:b/>
          <w:bCs/>
          <w:sz w:val="26"/>
          <w:szCs w:val="26"/>
        </w:rPr>
      </w:pPr>
      <w:bookmarkStart w:id="0" w:name="_Hlk228878913"/>
      <w:bookmarkStart w:id="1" w:name="_Hlk89341694"/>
      <w:r>
        <w:rPr>
          <w:rFonts w:eastAsia="Calibri" w:cs="Arial"/>
          <w:b/>
          <w:bCs/>
          <w:noProof/>
          <w:sz w:val="26"/>
          <w:szCs w:val="26"/>
        </w:rPr>
        <w:drawing>
          <wp:inline distT="0" distB="0" distL="0" distR="0" wp14:anchorId="38470824" wp14:editId="18101FBA">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64E6F385" w14:textId="77777777" w:rsidR="0077268F" w:rsidRDefault="0077268F" w:rsidP="008B0D31">
      <w:pPr>
        <w:jc w:val="center"/>
        <w:rPr>
          <w:rFonts w:eastAsia="Calibri" w:cs="Arial"/>
          <w:b/>
          <w:bCs/>
          <w:sz w:val="26"/>
          <w:szCs w:val="26"/>
        </w:rPr>
      </w:pPr>
    </w:p>
    <w:p w14:paraId="0B006416" w14:textId="77777777" w:rsidR="0077268F" w:rsidRDefault="0077268F" w:rsidP="008B0D31">
      <w:pPr>
        <w:jc w:val="center"/>
        <w:rPr>
          <w:rFonts w:eastAsia="Calibri" w:cs="Arial"/>
          <w:b/>
          <w:bCs/>
          <w:sz w:val="26"/>
          <w:szCs w:val="26"/>
        </w:rPr>
      </w:pPr>
    </w:p>
    <w:p w14:paraId="5D0C3B30" w14:textId="64DD04C6" w:rsidR="00200061" w:rsidRPr="00120E80" w:rsidRDefault="00F65B1D" w:rsidP="008B0D31">
      <w:pPr>
        <w:jc w:val="center"/>
        <w:rPr>
          <w:rFonts w:eastAsia="Calibri" w:cs="Arial"/>
          <w:b/>
          <w:bCs/>
          <w:sz w:val="26"/>
          <w:szCs w:val="26"/>
        </w:rPr>
      </w:pPr>
      <w:r>
        <w:rPr>
          <w:rFonts w:eastAsia="Calibri" w:cs="Arial"/>
          <w:b/>
          <w:bCs/>
          <w:sz w:val="26"/>
          <w:szCs w:val="26"/>
        </w:rPr>
        <w:t xml:space="preserve">May </w:t>
      </w:r>
      <w:r w:rsidR="006270AA">
        <w:rPr>
          <w:rFonts w:eastAsia="Calibri" w:cs="Arial"/>
          <w:b/>
          <w:bCs/>
          <w:sz w:val="26"/>
          <w:szCs w:val="26"/>
        </w:rPr>
        <w:t>29</w:t>
      </w:r>
      <w:r w:rsidR="00F26534" w:rsidRPr="00120E80">
        <w:rPr>
          <w:rFonts w:eastAsia="Calibri" w:cs="Arial"/>
          <w:b/>
          <w:bCs/>
          <w:sz w:val="26"/>
          <w:szCs w:val="26"/>
        </w:rPr>
        <w:t>, 202</w:t>
      </w:r>
      <w:r>
        <w:rPr>
          <w:rFonts w:eastAsia="Calibri" w:cs="Arial"/>
          <w:b/>
          <w:bCs/>
          <w:sz w:val="26"/>
          <w:szCs w:val="26"/>
        </w:rPr>
        <w:t>6</w:t>
      </w:r>
    </w:p>
    <w:bookmarkEnd w:id="0"/>
    <w:p w14:paraId="39479A1F" w14:textId="77777777" w:rsidR="008B0D31" w:rsidRPr="00643312" w:rsidRDefault="008B0D31" w:rsidP="008B0D31">
      <w:pPr>
        <w:jc w:val="center"/>
        <w:rPr>
          <w:rFonts w:cs="Arial"/>
          <w:b/>
        </w:rPr>
      </w:pPr>
    </w:p>
    <w:p w14:paraId="0AF07081" w14:textId="12DE458A" w:rsidR="005900D7" w:rsidRPr="00643312" w:rsidRDefault="008B0D31" w:rsidP="008B0D31">
      <w:pPr>
        <w:jc w:val="center"/>
        <w:rPr>
          <w:rFonts w:eastAsia="Calibri" w:cs="Arial"/>
          <w:b/>
          <w:bCs/>
          <w:sz w:val="26"/>
          <w:szCs w:val="26"/>
        </w:rPr>
      </w:pPr>
      <w:r w:rsidRPr="00643312">
        <w:rPr>
          <w:rFonts w:eastAsia="Calibri" w:cs="Arial"/>
          <w:b/>
          <w:bCs/>
          <w:sz w:val="26"/>
          <w:szCs w:val="26"/>
        </w:rPr>
        <w:t xml:space="preserve">Request for Proposals (RFP) </w:t>
      </w:r>
      <w:r w:rsidR="00CF7D0F" w:rsidRPr="00643312">
        <w:rPr>
          <w:rFonts w:eastAsia="Calibri" w:cs="Arial"/>
          <w:b/>
          <w:bCs/>
          <w:sz w:val="26"/>
          <w:szCs w:val="26"/>
        </w:rPr>
        <w:t>2</w:t>
      </w:r>
      <w:r w:rsidR="00F65B1D">
        <w:rPr>
          <w:rFonts w:eastAsia="Calibri" w:cs="Arial"/>
          <w:b/>
          <w:bCs/>
          <w:sz w:val="26"/>
          <w:szCs w:val="26"/>
        </w:rPr>
        <w:t>6</w:t>
      </w:r>
      <w:r w:rsidR="00F26534" w:rsidRPr="00643312">
        <w:rPr>
          <w:rFonts w:eastAsia="Calibri" w:cs="Arial"/>
          <w:b/>
          <w:bCs/>
          <w:sz w:val="26"/>
          <w:szCs w:val="26"/>
        </w:rPr>
        <w:t>-</w:t>
      </w:r>
      <w:r w:rsidR="00A173D6" w:rsidRPr="00643312">
        <w:rPr>
          <w:rFonts w:eastAsia="Calibri" w:cs="Arial"/>
          <w:b/>
          <w:bCs/>
          <w:sz w:val="26"/>
          <w:szCs w:val="26"/>
        </w:rPr>
        <w:t>10</w:t>
      </w:r>
      <w:r w:rsidR="008B30A5">
        <w:rPr>
          <w:rFonts w:eastAsia="Calibri" w:cs="Arial"/>
          <w:b/>
          <w:bCs/>
          <w:sz w:val="26"/>
          <w:szCs w:val="26"/>
        </w:rPr>
        <w:t>0</w:t>
      </w:r>
      <w:r w:rsidR="00F26534" w:rsidRPr="00643312">
        <w:rPr>
          <w:rFonts w:eastAsia="Calibri" w:cs="Arial"/>
          <w:b/>
          <w:bCs/>
          <w:sz w:val="26"/>
          <w:szCs w:val="26"/>
        </w:rPr>
        <w:t xml:space="preserve"> </w:t>
      </w:r>
    </w:p>
    <w:p w14:paraId="4518C527" w14:textId="3AE86500" w:rsidR="008B0D31" w:rsidRPr="00643312" w:rsidRDefault="008B30A5" w:rsidP="008B0D31">
      <w:pPr>
        <w:jc w:val="center"/>
        <w:rPr>
          <w:rFonts w:eastAsia="Calibri" w:cs="Arial"/>
          <w:b/>
          <w:bCs/>
          <w:sz w:val="26"/>
          <w:szCs w:val="26"/>
        </w:rPr>
      </w:pPr>
      <w:r>
        <w:rPr>
          <w:rFonts w:eastAsia="Calibri" w:cs="Arial"/>
          <w:b/>
          <w:bCs/>
          <w:sz w:val="26"/>
          <w:szCs w:val="26"/>
        </w:rPr>
        <w:t xml:space="preserve">Real Property Appraisal </w:t>
      </w:r>
      <w:r w:rsidR="00BB39C9">
        <w:rPr>
          <w:rFonts w:eastAsia="Calibri" w:cs="Arial"/>
          <w:b/>
          <w:bCs/>
          <w:sz w:val="26"/>
          <w:szCs w:val="26"/>
        </w:rPr>
        <w:t>Services</w:t>
      </w:r>
      <w:r w:rsidR="00AE1FA6">
        <w:rPr>
          <w:rFonts w:eastAsia="Calibri" w:cs="Arial"/>
          <w:b/>
          <w:bCs/>
          <w:sz w:val="26"/>
          <w:szCs w:val="26"/>
        </w:rPr>
        <w:t xml:space="preserve"> </w:t>
      </w:r>
      <w:r w:rsidR="00AE1FA6" w:rsidRPr="00AE1FA6">
        <w:rPr>
          <w:rFonts w:eastAsia="Calibri" w:cs="Arial"/>
          <w:b/>
          <w:bCs/>
          <w:sz w:val="26"/>
          <w:szCs w:val="26"/>
        </w:rPr>
        <w:t>– Special Franchise Properties and Telecommunications Assessment Ceiling Properties</w:t>
      </w:r>
    </w:p>
    <w:p w14:paraId="62503D29" w14:textId="77777777" w:rsidR="005900D7" w:rsidRPr="00643312" w:rsidRDefault="005900D7" w:rsidP="008B0D31">
      <w:pPr>
        <w:jc w:val="center"/>
        <w:rPr>
          <w:rFonts w:eastAsia="Calibri" w:cs="Arial"/>
          <w:b/>
          <w:bCs/>
          <w:sz w:val="26"/>
          <w:szCs w:val="26"/>
        </w:rPr>
      </w:pPr>
    </w:p>
    <w:p w14:paraId="3B473F7D" w14:textId="4226D456" w:rsidR="008B0D31" w:rsidRPr="00643312" w:rsidRDefault="00A87C6F" w:rsidP="008B0D31">
      <w:pPr>
        <w:jc w:val="center"/>
        <w:rPr>
          <w:rFonts w:eastAsia="Calibri" w:cs="Arial"/>
          <w:b/>
          <w:bCs/>
          <w:sz w:val="26"/>
          <w:szCs w:val="26"/>
        </w:rPr>
      </w:pPr>
      <w:r w:rsidRPr="00643312">
        <w:rPr>
          <w:rFonts w:eastAsia="Calibri" w:cs="Arial"/>
          <w:b/>
          <w:bCs/>
          <w:sz w:val="26"/>
          <w:szCs w:val="26"/>
        </w:rPr>
        <w:t>Response</w:t>
      </w:r>
      <w:r w:rsidR="00C2381F">
        <w:rPr>
          <w:rFonts w:eastAsia="Calibri" w:cs="Arial"/>
          <w:b/>
          <w:bCs/>
          <w:sz w:val="26"/>
          <w:szCs w:val="26"/>
        </w:rPr>
        <w:t>s</w:t>
      </w:r>
      <w:r w:rsidRPr="00643312">
        <w:rPr>
          <w:rFonts w:eastAsia="Calibri" w:cs="Arial"/>
          <w:b/>
          <w:bCs/>
          <w:sz w:val="26"/>
          <w:szCs w:val="26"/>
        </w:rPr>
        <w:t xml:space="preserve"> to </w:t>
      </w:r>
      <w:r w:rsidR="006270AA">
        <w:rPr>
          <w:rFonts w:eastAsia="Calibri" w:cs="Arial"/>
          <w:b/>
          <w:bCs/>
          <w:sz w:val="26"/>
          <w:szCs w:val="26"/>
        </w:rPr>
        <w:t xml:space="preserve">Second </w:t>
      </w:r>
      <w:r w:rsidR="00167A3E">
        <w:rPr>
          <w:rFonts w:eastAsia="Calibri" w:cs="Arial"/>
          <w:b/>
          <w:bCs/>
          <w:sz w:val="26"/>
          <w:szCs w:val="26"/>
        </w:rPr>
        <w:t xml:space="preserve">Round </w:t>
      </w:r>
      <w:r w:rsidRPr="00643312">
        <w:rPr>
          <w:rFonts w:eastAsia="Calibri" w:cs="Arial"/>
          <w:b/>
          <w:bCs/>
          <w:sz w:val="26"/>
          <w:szCs w:val="26"/>
        </w:rPr>
        <w:t>Bidder Questions</w:t>
      </w:r>
      <w:r w:rsidR="00BF6ED8">
        <w:rPr>
          <w:rFonts w:eastAsia="Calibri" w:cs="Arial"/>
          <w:b/>
          <w:bCs/>
          <w:sz w:val="26"/>
          <w:szCs w:val="26"/>
        </w:rPr>
        <w:t xml:space="preserve"> </w:t>
      </w:r>
    </w:p>
    <w:p w14:paraId="375B5FF9" w14:textId="77777777" w:rsidR="008B0D31" w:rsidRPr="00643312" w:rsidRDefault="008B0D31" w:rsidP="008B0D31">
      <w:pPr>
        <w:jc w:val="center"/>
        <w:rPr>
          <w:rFonts w:eastAsia="Calibri" w:cs="Arial"/>
          <w:b/>
          <w:bCs/>
          <w:sz w:val="26"/>
          <w:szCs w:val="26"/>
        </w:rPr>
      </w:pPr>
    </w:p>
    <w:p w14:paraId="477DAAD3" w14:textId="77777777" w:rsidR="008B0D31" w:rsidRPr="00643312" w:rsidRDefault="008B0D31" w:rsidP="008B0D31">
      <w:pPr>
        <w:jc w:val="center"/>
        <w:rPr>
          <w:rFonts w:eastAsia="Calibri" w:cs="Arial"/>
          <w:b/>
          <w:bCs/>
          <w:sz w:val="26"/>
          <w:szCs w:val="26"/>
        </w:rPr>
      </w:pPr>
    </w:p>
    <w:p w14:paraId="3B0F328D" w14:textId="77777777" w:rsidR="008B0D31" w:rsidRPr="00BF6ED8" w:rsidRDefault="008B0D31" w:rsidP="008B0D31">
      <w:pPr>
        <w:autoSpaceDE w:val="0"/>
        <w:autoSpaceDN w:val="0"/>
        <w:adjustRightInd w:val="0"/>
        <w:spacing w:after="200" w:line="276" w:lineRule="auto"/>
        <w:rPr>
          <w:rFonts w:eastAsia="Calibri" w:cs="Arial"/>
          <w:sz w:val="22"/>
          <w:szCs w:val="22"/>
        </w:rPr>
      </w:pPr>
      <w:bookmarkStart w:id="2" w:name="_Hlk3362932"/>
      <w:r w:rsidRPr="00BF6ED8">
        <w:rPr>
          <w:rFonts w:eastAsia="Calibri" w:cs="Arial"/>
          <w:sz w:val="22"/>
          <w:szCs w:val="22"/>
        </w:rPr>
        <w:t>To All Potential Bidders:</w:t>
      </w:r>
    </w:p>
    <w:p w14:paraId="662DDE48" w14:textId="7F3B96D1" w:rsidR="00BF341E" w:rsidRPr="00BF6ED8" w:rsidRDefault="00A87C6F" w:rsidP="00BF6ED8">
      <w:pPr>
        <w:autoSpaceDE w:val="0"/>
        <w:autoSpaceDN w:val="0"/>
        <w:spacing w:before="60" w:after="200" w:line="276" w:lineRule="auto"/>
        <w:jc w:val="both"/>
        <w:rPr>
          <w:rFonts w:cs="Arial"/>
          <w:sz w:val="22"/>
          <w:szCs w:val="22"/>
        </w:rPr>
      </w:pPr>
      <w:r w:rsidRPr="00BF6ED8">
        <w:rPr>
          <w:rFonts w:cs="Arial"/>
          <w:sz w:val="22"/>
          <w:szCs w:val="22"/>
        </w:rPr>
        <w:t>Attached are the Department’s Responses to Bidder Questions received for the above referenced RFP.</w:t>
      </w:r>
      <w:bookmarkEnd w:id="2"/>
    </w:p>
    <w:p w14:paraId="5E07C3ED" w14:textId="77777777" w:rsidR="00BF6ED8" w:rsidRDefault="00BF6ED8" w:rsidP="00BF6ED8">
      <w:pPr>
        <w:spacing w:before="240" w:line="276" w:lineRule="auto"/>
        <w:rPr>
          <w:rFonts w:cs="Arial"/>
          <w:sz w:val="22"/>
          <w:szCs w:val="22"/>
        </w:rPr>
      </w:pPr>
    </w:p>
    <w:p w14:paraId="1F6D0E76" w14:textId="77777777" w:rsidR="004F63AB" w:rsidRDefault="004F63AB" w:rsidP="00BF6ED8">
      <w:pPr>
        <w:spacing w:before="240" w:line="276" w:lineRule="auto"/>
        <w:rPr>
          <w:rFonts w:cs="Arial"/>
          <w:sz w:val="22"/>
          <w:szCs w:val="22"/>
        </w:rPr>
      </w:pPr>
    </w:p>
    <w:p w14:paraId="1E6B42AE" w14:textId="77777777" w:rsidR="004F63AB" w:rsidRDefault="004F63AB" w:rsidP="00BF6ED8">
      <w:pPr>
        <w:spacing w:before="240" w:line="276" w:lineRule="auto"/>
        <w:rPr>
          <w:rFonts w:cs="Arial"/>
          <w:sz w:val="22"/>
          <w:szCs w:val="22"/>
        </w:rPr>
      </w:pPr>
    </w:p>
    <w:p w14:paraId="0B7D7B80" w14:textId="77777777" w:rsidR="004F63AB" w:rsidRDefault="004F63AB" w:rsidP="00BF6ED8">
      <w:pPr>
        <w:spacing w:before="240" w:line="276" w:lineRule="auto"/>
        <w:rPr>
          <w:rFonts w:cs="Arial"/>
          <w:sz w:val="22"/>
          <w:szCs w:val="22"/>
        </w:rPr>
      </w:pPr>
    </w:p>
    <w:p w14:paraId="1D5111B7" w14:textId="77777777" w:rsidR="004F63AB" w:rsidRDefault="004F63AB" w:rsidP="00BF6ED8">
      <w:pPr>
        <w:spacing w:before="240" w:line="276" w:lineRule="auto"/>
        <w:rPr>
          <w:rFonts w:cs="Arial"/>
          <w:sz w:val="22"/>
          <w:szCs w:val="22"/>
        </w:rPr>
      </w:pPr>
    </w:p>
    <w:p w14:paraId="7A3348F1" w14:textId="77777777" w:rsidR="004F63AB" w:rsidRDefault="004F63AB" w:rsidP="00BF6ED8">
      <w:pPr>
        <w:spacing w:before="240" w:line="276" w:lineRule="auto"/>
        <w:rPr>
          <w:rFonts w:cs="Arial"/>
          <w:sz w:val="22"/>
          <w:szCs w:val="22"/>
        </w:rPr>
      </w:pPr>
    </w:p>
    <w:p w14:paraId="4A0BCDB2" w14:textId="77777777" w:rsidR="004F63AB" w:rsidRDefault="004F63AB" w:rsidP="00BF6ED8">
      <w:pPr>
        <w:spacing w:before="240" w:line="276" w:lineRule="auto"/>
        <w:rPr>
          <w:rFonts w:cs="Arial"/>
          <w:sz w:val="22"/>
          <w:szCs w:val="22"/>
        </w:rPr>
      </w:pPr>
    </w:p>
    <w:p w14:paraId="210B7FE9" w14:textId="77777777" w:rsidR="004F63AB" w:rsidRDefault="004F63AB" w:rsidP="00BF6ED8">
      <w:pPr>
        <w:spacing w:before="240" w:line="276" w:lineRule="auto"/>
        <w:rPr>
          <w:rFonts w:cs="Arial"/>
          <w:sz w:val="22"/>
          <w:szCs w:val="22"/>
        </w:rPr>
      </w:pPr>
    </w:p>
    <w:p w14:paraId="3FE5CE0B" w14:textId="77777777" w:rsidR="004F63AB" w:rsidRDefault="004F63AB" w:rsidP="00BF6ED8">
      <w:pPr>
        <w:spacing w:before="240" w:line="276" w:lineRule="auto"/>
        <w:rPr>
          <w:rFonts w:cs="Arial"/>
          <w:sz w:val="22"/>
          <w:szCs w:val="22"/>
        </w:rPr>
      </w:pPr>
    </w:p>
    <w:p w14:paraId="4505FC32" w14:textId="77777777" w:rsidR="004F63AB" w:rsidRDefault="004F63AB" w:rsidP="00BF6ED8">
      <w:pPr>
        <w:spacing w:before="240" w:line="276" w:lineRule="auto"/>
        <w:rPr>
          <w:rFonts w:cs="Arial"/>
          <w:sz w:val="22"/>
          <w:szCs w:val="22"/>
        </w:rPr>
        <w:sectPr w:rsidR="004F63AB" w:rsidSect="00897F46">
          <w:headerReference w:type="default" r:id="rId9"/>
          <w:footerReference w:type="default" r:id="rId10"/>
          <w:footerReference w:type="first" r:id="rId11"/>
          <w:pgSz w:w="12240" w:h="15840"/>
          <w:pgMar w:top="576" w:right="1440" w:bottom="1440" w:left="1440" w:header="288" w:footer="432" w:gutter="0"/>
          <w:cols w:space="720"/>
          <w:titlePg/>
          <w:docGrid w:linePitch="360"/>
        </w:sectPr>
      </w:pPr>
    </w:p>
    <w:p w14:paraId="21B6238D" w14:textId="02164ECE" w:rsidR="00956CA7" w:rsidRDefault="00956CA7" w:rsidP="00B024D8">
      <w:pPr>
        <w:pStyle w:val="Caption"/>
        <w:keepNext/>
        <w:spacing w:after="120"/>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RFP 26-100 DTF Responses to </w:t>
      </w:r>
      <w:r w:rsidR="006270AA">
        <w:t>Second</w:t>
      </w:r>
      <w:r>
        <w:t xml:space="preserve"> Round of Questions and Answers</w:t>
      </w:r>
    </w:p>
    <w:tbl>
      <w:tblPr>
        <w:tblpPr w:leftFromText="180" w:rightFromText="180" w:vertAnchor="text" w:tblpX="331" w:tblpY="1"/>
        <w:tblOverlap w:val="never"/>
        <w:tblW w:w="47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
        <w:gridCol w:w="1979"/>
        <w:gridCol w:w="720"/>
        <w:gridCol w:w="5579"/>
        <w:gridCol w:w="5940"/>
      </w:tblGrid>
      <w:tr w:rsidR="00BC1DAD" w:rsidRPr="00BC1DAD" w14:paraId="3D5A459E" w14:textId="77777777" w:rsidTr="00B024D8">
        <w:trPr>
          <w:trHeight w:val="530"/>
          <w:tblHeader/>
        </w:trPr>
        <w:tc>
          <w:tcPr>
            <w:tcW w:w="122" w:type="pct"/>
            <w:vMerge w:val="restart"/>
            <w:shd w:val="pct20" w:color="auto" w:fill="auto"/>
            <w:vAlign w:val="center"/>
          </w:tcPr>
          <w:p w14:paraId="33092792" w14:textId="1A348E92" w:rsidR="00BC1DAD" w:rsidRPr="00BC1DAD" w:rsidRDefault="00BC1DAD" w:rsidP="004F63AB">
            <w:pPr>
              <w:spacing w:before="120" w:after="120"/>
              <w:rPr>
                <w:rFonts w:cs="Arial"/>
                <w:b/>
                <w:sz w:val="22"/>
                <w:szCs w:val="22"/>
              </w:rPr>
            </w:pPr>
            <w:bookmarkStart w:id="41" w:name="_Hlk191476108"/>
            <w:bookmarkEnd w:id="1"/>
            <w:r w:rsidRPr="00BC1DAD">
              <w:rPr>
                <w:rFonts w:cs="Arial"/>
                <w:sz w:val="22"/>
                <w:szCs w:val="22"/>
              </w:rPr>
              <w:br w:type="page"/>
            </w:r>
            <w:r w:rsidRPr="00BC1DAD">
              <w:rPr>
                <w:rFonts w:cs="Arial"/>
                <w:b/>
                <w:sz w:val="22"/>
                <w:szCs w:val="22"/>
              </w:rPr>
              <w:t>#</w:t>
            </w:r>
          </w:p>
        </w:tc>
        <w:tc>
          <w:tcPr>
            <w:tcW w:w="926" w:type="pct"/>
            <w:gridSpan w:val="2"/>
            <w:tcBorders>
              <w:bottom w:val="single" w:sz="8" w:space="0" w:color="000000"/>
            </w:tcBorders>
            <w:shd w:val="pct20" w:color="auto" w:fill="auto"/>
            <w:vAlign w:val="center"/>
          </w:tcPr>
          <w:p w14:paraId="13083C81" w14:textId="5D1190EE" w:rsidR="00E040F3" w:rsidRPr="00BC1DAD" w:rsidRDefault="00BC1DAD" w:rsidP="00E040F3">
            <w:pPr>
              <w:spacing w:before="120" w:after="120"/>
              <w:jc w:val="center"/>
              <w:rPr>
                <w:rFonts w:cs="Arial"/>
                <w:b/>
                <w:sz w:val="22"/>
                <w:szCs w:val="22"/>
              </w:rPr>
            </w:pPr>
            <w:r w:rsidRPr="00BC1DAD">
              <w:rPr>
                <w:rFonts w:cs="Arial"/>
                <w:b/>
                <w:sz w:val="22"/>
                <w:szCs w:val="22"/>
              </w:rPr>
              <w:t>RFP Reference</w:t>
            </w:r>
          </w:p>
        </w:tc>
        <w:tc>
          <w:tcPr>
            <w:tcW w:w="1914" w:type="pct"/>
            <w:vMerge w:val="restart"/>
            <w:shd w:val="pct20" w:color="auto" w:fill="auto"/>
            <w:vAlign w:val="center"/>
          </w:tcPr>
          <w:p w14:paraId="01D0C249" w14:textId="77777777" w:rsidR="00BC1DAD" w:rsidRPr="00BC1DAD" w:rsidRDefault="00BC1DAD" w:rsidP="00EA30D0">
            <w:pPr>
              <w:spacing w:before="120" w:after="120"/>
              <w:jc w:val="center"/>
              <w:rPr>
                <w:rFonts w:cs="Arial"/>
                <w:b/>
                <w:sz w:val="22"/>
                <w:szCs w:val="22"/>
              </w:rPr>
            </w:pPr>
            <w:r w:rsidRPr="00BC1DAD">
              <w:rPr>
                <w:rFonts w:cs="Arial"/>
                <w:b/>
                <w:sz w:val="22"/>
                <w:szCs w:val="22"/>
              </w:rPr>
              <w:t>Question</w:t>
            </w:r>
          </w:p>
        </w:tc>
        <w:tc>
          <w:tcPr>
            <w:tcW w:w="2038" w:type="pct"/>
            <w:vMerge w:val="restart"/>
            <w:shd w:val="pct20" w:color="auto" w:fill="auto"/>
            <w:vAlign w:val="center"/>
          </w:tcPr>
          <w:p w14:paraId="40BA123B" w14:textId="77777777" w:rsidR="00BC1DAD" w:rsidRPr="00997BB9" w:rsidRDefault="00BC1DAD" w:rsidP="00EA30D0">
            <w:pPr>
              <w:spacing w:before="120" w:after="120"/>
              <w:jc w:val="center"/>
              <w:rPr>
                <w:rFonts w:cs="Arial"/>
                <w:b/>
                <w:sz w:val="22"/>
                <w:szCs w:val="22"/>
              </w:rPr>
            </w:pPr>
            <w:r w:rsidRPr="00997BB9">
              <w:rPr>
                <w:rFonts w:cs="Arial"/>
                <w:b/>
                <w:sz w:val="22"/>
                <w:szCs w:val="22"/>
              </w:rPr>
              <w:t>Answer</w:t>
            </w:r>
          </w:p>
        </w:tc>
      </w:tr>
      <w:tr w:rsidR="00B33661" w:rsidRPr="00BC1DAD" w14:paraId="24B89875" w14:textId="77777777" w:rsidTr="00B024D8">
        <w:trPr>
          <w:tblHeader/>
        </w:trPr>
        <w:tc>
          <w:tcPr>
            <w:tcW w:w="122" w:type="pct"/>
            <w:vMerge/>
            <w:tcBorders>
              <w:bottom w:val="single" w:sz="8" w:space="0" w:color="000000"/>
            </w:tcBorders>
            <w:shd w:val="pct20" w:color="auto" w:fill="auto"/>
            <w:vAlign w:val="center"/>
          </w:tcPr>
          <w:p w14:paraId="06508DDA" w14:textId="77777777" w:rsidR="00BC1DAD" w:rsidRPr="00BC1DAD" w:rsidRDefault="00BC1DAD" w:rsidP="00EA30D0">
            <w:pPr>
              <w:spacing w:before="120" w:after="120"/>
              <w:jc w:val="center"/>
              <w:rPr>
                <w:rFonts w:cs="Arial"/>
                <w:sz w:val="22"/>
                <w:szCs w:val="22"/>
              </w:rPr>
            </w:pPr>
          </w:p>
        </w:tc>
        <w:tc>
          <w:tcPr>
            <w:tcW w:w="679" w:type="pct"/>
            <w:tcBorders>
              <w:bottom w:val="single" w:sz="8" w:space="0" w:color="000000"/>
            </w:tcBorders>
            <w:shd w:val="pct20" w:color="auto" w:fill="auto"/>
            <w:vAlign w:val="center"/>
          </w:tcPr>
          <w:p w14:paraId="5B5E89E2" w14:textId="240FC1B0" w:rsidR="00BC1DAD" w:rsidRPr="00BC1DAD" w:rsidRDefault="00BC1DAD" w:rsidP="00EA30D0">
            <w:pPr>
              <w:spacing w:before="120" w:after="120"/>
              <w:jc w:val="center"/>
              <w:rPr>
                <w:rFonts w:cs="Arial"/>
                <w:b/>
                <w:sz w:val="22"/>
                <w:szCs w:val="22"/>
              </w:rPr>
            </w:pPr>
            <w:r w:rsidRPr="00BC1DAD">
              <w:rPr>
                <w:rFonts w:cs="Arial"/>
                <w:b/>
                <w:sz w:val="22"/>
                <w:szCs w:val="22"/>
              </w:rPr>
              <w:t>Section</w:t>
            </w:r>
          </w:p>
        </w:tc>
        <w:tc>
          <w:tcPr>
            <w:tcW w:w="247" w:type="pct"/>
            <w:tcBorders>
              <w:bottom w:val="single" w:sz="8" w:space="0" w:color="000000"/>
            </w:tcBorders>
            <w:shd w:val="pct20" w:color="auto" w:fill="auto"/>
            <w:vAlign w:val="center"/>
          </w:tcPr>
          <w:p w14:paraId="54DC8AF4" w14:textId="3067ABE2" w:rsidR="00BC1DAD" w:rsidRPr="00EA30D0" w:rsidRDefault="00BC1DAD" w:rsidP="006270AA">
            <w:pPr>
              <w:spacing w:before="120" w:after="120"/>
              <w:jc w:val="both"/>
              <w:rPr>
                <w:rFonts w:cs="Arial"/>
                <w:b/>
                <w:sz w:val="20"/>
                <w:szCs w:val="20"/>
              </w:rPr>
            </w:pPr>
            <w:r w:rsidRPr="00EA30D0">
              <w:rPr>
                <w:rFonts w:cs="Arial"/>
                <w:b/>
                <w:sz w:val="20"/>
                <w:szCs w:val="20"/>
              </w:rPr>
              <w:t>Page</w:t>
            </w:r>
          </w:p>
        </w:tc>
        <w:tc>
          <w:tcPr>
            <w:tcW w:w="1914" w:type="pct"/>
            <w:vMerge/>
            <w:tcBorders>
              <w:bottom w:val="single" w:sz="8" w:space="0" w:color="000000"/>
            </w:tcBorders>
            <w:shd w:val="pct20" w:color="auto" w:fill="auto"/>
            <w:vAlign w:val="center"/>
          </w:tcPr>
          <w:p w14:paraId="396EECA7" w14:textId="77777777" w:rsidR="00BC1DAD" w:rsidRPr="00BC1DAD" w:rsidRDefault="00BC1DAD" w:rsidP="006270AA">
            <w:pPr>
              <w:spacing w:before="120" w:after="120"/>
              <w:jc w:val="both"/>
              <w:rPr>
                <w:rFonts w:cs="Arial"/>
                <w:b/>
                <w:sz w:val="22"/>
                <w:szCs w:val="22"/>
              </w:rPr>
            </w:pPr>
          </w:p>
        </w:tc>
        <w:tc>
          <w:tcPr>
            <w:tcW w:w="2038" w:type="pct"/>
            <w:vMerge/>
            <w:tcBorders>
              <w:bottom w:val="single" w:sz="8" w:space="0" w:color="000000"/>
            </w:tcBorders>
            <w:shd w:val="pct20" w:color="auto" w:fill="auto"/>
            <w:vAlign w:val="center"/>
          </w:tcPr>
          <w:p w14:paraId="6F798A39" w14:textId="77777777" w:rsidR="00BC1DAD" w:rsidRPr="00997BB9" w:rsidRDefault="00BC1DAD" w:rsidP="00EA30D0">
            <w:pPr>
              <w:spacing w:before="120" w:after="120"/>
              <w:jc w:val="center"/>
              <w:rPr>
                <w:rFonts w:cs="Arial"/>
                <w:b/>
                <w:sz w:val="22"/>
                <w:szCs w:val="22"/>
              </w:rPr>
            </w:pPr>
          </w:p>
        </w:tc>
      </w:tr>
      <w:tr w:rsidR="0026014E" w:rsidRPr="00BC1DAD" w14:paraId="04D6E25A" w14:textId="77777777" w:rsidTr="00B024D8">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2D8342" w14:textId="77777777" w:rsidR="0026014E" w:rsidRPr="00BC1DAD" w:rsidRDefault="0026014E" w:rsidP="0026014E">
            <w:pPr>
              <w:spacing w:before="120" w:after="120"/>
              <w:jc w:val="center"/>
              <w:rPr>
                <w:rFonts w:cs="Arial"/>
                <w:sz w:val="22"/>
                <w:szCs w:val="22"/>
              </w:rPr>
            </w:pPr>
            <w:r w:rsidRPr="00BC1DAD">
              <w:rPr>
                <w:rFonts w:cs="Arial"/>
                <w:sz w:val="22"/>
                <w:szCs w:val="22"/>
              </w:rPr>
              <w:t>1</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32546174" w14:textId="77777777" w:rsidR="0026014E" w:rsidRPr="00272248" w:rsidRDefault="0026014E" w:rsidP="0026014E">
            <w:pPr>
              <w:spacing w:before="120" w:after="120"/>
              <w:rPr>
                <w:rFonts w:cs="Arial"/>
                <w:b/>
                <w:bCs/>
                <w:sz w:val="20"/>
                <w:szCs w:val="20"/>
              </w:rPr>
            </w:pPr>
            <w:r w:rsidRPr="00272248">
              <w:rPr>
                <w:rFonts w:cs="Arial"/>
                <w:b/>
                <w:bCs/>
                <w:sz w:val="20"/>
                <w:szCs w:val="20"/>
              </w:rPr>
              <w:t xml:space="preserve">RFP Section 2. Scope of Services </w:t>
            </w:r>
          </w:p>
          <w:p w14:paraId="6A2B78C1" w14:textId="77777777" w:rsidR="0026014E" w:rsidRPr="00272248" w:rsidRDefault="0026014E" w:rsidP="0026014E">
            <w:pPr>
              <w:spacing w:before="120" w:after="120"/>
              <w:rPr>
                <w:rFonts w:cs="Arial"/>
                <w:sz w:val="20"/>
                <w:szCs w:val="20"/>
              </w:rPr>
            </w:pPr>
            <w:r>
              <w:rPr>
                <w:rFonts w:cs="Arial"/>
                <w:sz w:val="20"/>
                <w:szCs w:val="20"/>
              </w:rPr>
              <w:t>2.1 Review Cost Data</w:t>
            </w:r>
          </w:p>
          <w:p w14:paraId="2C11520B" w14:textId="6B2A3A1C" w:rsidR="0026014E" w:rsidRPr="00BC1DAD" w:rsidRDefault="0026014E" w:rsidP="0026014E">
            <w:pPr>
              <w:spacing w:before="120" w:after="120"/>
              <w:rPr>
                <w:rFonts w:cs="Arial"/>
                <w:sz w:val="20"/>
                <w:szCs w:val="20"/>
              </w:rPr>
            </w:pP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2F854C62" w14:textId="29B99B47" w:rsidR="0026014E" w:rsidRPr="00BC1DAD" w:rsidRDefault="0026014E" w:rsidP="006270AA">
            <w:pPr>
              <w:spacing w:before="120" w:after="120"/>
              <w:jc w:val="both"/>
              <w:rPr>
                <w:rFonts w:cs="Arial"/>
                <w:sz w:val="22"/>
                <w:szCs w:val="22"/>
              </w:rPr>
            </w:pPr>
            <w:r w:rsidRPr="00272248">
              <w:rPr>
                <w:rFonts w:cs="Arial"/>
                <w:sz w:val="22"/>
                <w:szCs w:val="22"/>
              </w:rPr>
              <w:t>11</w:t>
            </w:r>
          </w:p>
        </w:tc>
        <w:tc>
          <w:tcPr>
            <w:tcW w:w="1914" w:type="pct"/>
            <w:tcBorders>
              <w:top w:val="single" w:sz="8" w:space="0" w:color="000000"/>
              <w:left w:val="single" w:sz="8" w:space="0" w:color="000000"/>
              <w:bottom w:val="single" w:sz="8" w:space="0" w:color="000000"/>
              <w:right w:val="single" w:sz="8" w:space="0" w:color="000000"/>
            </w:tcBorders>
            <w:shd w:val="clear" w:color="auto" w:fill="auto"/>
          </w:tcPr>
          <w:p w14:paraId="24715D77" w14:textId="77777777" w:rsidR="006270AA" w:rsidRPr="004C1F93" w:rsidRDefault="006270AA" w:rsidP="006270AA">
            <w:pPr>
              <w:spacing w:after="120" w:line="240" w:lineRule="atLeast"/>
              <w:jc w:val="both"/>
              <w:rPr>
                <w:rFonts w:cs="Arial"/>
                <w:sz w:val="22"/>
                <w:szCs w:val="22"/>
              </w:rPr>
            </w:pPr>
            <w:r w:rsidRPr="004C1F93">
              <w:rPr>
                <w:rFonts w:cs="Arial"/>
                <w:sz w:val="22"/>
                <w:szCs w:val="22"/>
              </w:rPr>
              <w:t>With respect to the Department’s response to Round 1 Bidder Question 2 regarding the scale and structure of the original cost data, the Department stated:</w:t>
            </w:r>
          </w:p>
          <w:p w14:paraId="2C1B5741" w14:textId="77777777" w:rsidR="006270AA" w:rsidRPr="006270AA" w:rsidRDefault="006270AA" w:rsidP="006270AA">
            <w:pPr>
              <w:spacing w:line="240" w:lineRule="atLeast"/>
              <w:jc w:val="both"/>
              <w:rPr>
                <w:rFonts w:cs="Arial"/>
                <w:sz w:val="22"/>
                <w:szCs w:val="22"/>
              </w:rPr>
            </w:pPr>
            <w:r w:rsidRPr="006270AA">
              <w:rPr>
                <w:rFonts w:cs="Arial"/>
                <w:sz w:val="22"/>
                <w:szCs w:val="22"/>
              </w:rPr>
              <w:t>“From 2024 inventory filing, there was about $21,000,000 original cost in the Highway (both taxable and non-taxable accounts) and about $58,000,00 original cost Mass Property in Private (both taxable and non-taxable) for about 2,300 asset records.”</w:t>
            </w:r>
          </w:p>
          <w:p w14:paraId="3551772E" w14:textId="2FEF14DB" w:rsidR="0026014E" w:rsidRPr="00AE1FA6" w:rsidRDefault="006270AA" w:rsidP="006270AA">
            <w:pPr>
              <w:spacing w:before="120" w:after="120"/>
              <w:jc w:val="both"/>
              <w:rPr>
                <w:rFonts w:cs="Arial"/>
                <w:sz w:val="22"/>
                <w:szCs w:val="22"/>
                <w:highlight w:val="yellow"/>
              </w:rPr>
            </w:pPr>
            <w:r w:rsidRPr="004C1F93">
              <w:rPr>
                <w:rFonts w:cs="Arial"/>
                <w:sz w:val="22"/>
                <w:szCs w:val="22"/>
              </w:rPr>
              <w:t>The amount stated for Mass Property in Private appears to contain a typographical or formatting error.  Can the Department please confirm the intended original cost amount for Mass Property in Private from the 2024 inventory filing?</w:t>
            </w:r>
          </w:p>
        </w:tc>
        <w:tc>
          <w:tcPr>
            <w:tcW w:w="2038" w:type="pct"/>
            <w:tcBorders>
              <w:top w:val="single" w:sz="8" w:space="0" w:color="000000"/>
              <w:left w:val="single" w:sz="8" w:space="0" w:color="000000"/>
              <w:bottom w:val="single" w:sz="8" w:space="0" w:color="000000"/>
              <w:right w:val="single" w:sz="8" w:space="0" w:color="000000"/>
            </w:tcBorders>
            <w:shd w:val="clear" w:color="auto" w:fill="auto"/>
          </w:tcPr>
          <w:p w14:paraId="3FB68735" w14:textId="0DB992C5" w:rsidR="00B024D8" w:rsidRPr="00B024D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 xml:space="preserve">Yes, confirming… </w:t>
            </w:r>
          </w:p>
          <w:p w14:paraId="545610FF" w14:textId="586DD4AB" w:rsidR="0026014E" w:rsidRPr="0026014E" w:rsidRDefault="00B024D8" w:rsidP="00B024D8">
            <w:pPr>
              <w:spacing w:before="120" w:after="120"/>
              <w:jc w:val="both"/>
              <w:rPr>
                <w:rFonts w:cs="Arial"/>
                <w:b/>
                <w:bCs/>
                <w:color w:val="1F497D" w:themeColor="text2"/>
                <w:sz w:val="22"/>
                <w:szCs w:val="22"/>
                <w:highlight w:val="yellow"/>
              </w:rPr>
            </w:pPr>
            <w:r w:rsidRPr="00B024D8">
              <w:rPr>
                <w:rFonts w:cs="Arial"/>
                <w:b/>
                <w:bCs/>
                <w:color w:val="1F497D" w:themeColor="text2"/>
                <w:sz w:val="22"/>
                <w:szCs w:val="22"/>
              </w:rPr>
              <w:t>From 2024 inventory filing, there was about $21,000,000 original cost in the Highway (both taxable and non-taxable accounts) and about $58,000,000 original cost Mass Property in Private (both taxable and non-taxable) for about 2,300 asset records.</w:t>
            </w:r>
          </w:p>
        </w:tc>
      </w:tr>
      <w:tr w:rsidR="0026014E" w:rsidRPr="00BC1DAD" w14:paraId="78115218" w14:textId="77777777" w:rsidTr="00B024D8">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2B656C2" w14:textId="77777777" w:rsidR="0026014E" w:rsidRPr="00BC1DAD" w:rsidRDefault="0026014E" w:rsidP="0026014E">
            <w:pPr>
              <w:spacing w:before="120" w:after="120"/>
              <w:jc w:val="center"/>
              <w:rPr>
                <w:rFonts w:cs="Arial"/>
                <w:sz w:val="22"/>
                <w:szCs w:val="22"/>
              </w:rPr>
            </w:pPr>
            <w:bookmarkStart w:id="42" w:name="_Hlk191899884"/>
            <w:r w:rsidRPr="00BC1DAD">
              <w:rPr>
                <w:rFonts w:cs="Arial"/>
                <w:sz w:val="22"/>
                <w:szCs w:val="22"/>
              </w:rPr>
              <w:t>2</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1159F690" w14:textId="77777777" w:rsidR="006270AA" w:rsidRPr="00ED48F4" w:rsidRDefault="006270AA" w:rsidP="006270AA">
            <w:pPr>
              <w:spacing w:before="120" w:after="120"/>
              <w:rPr>
                <w:rFonts w:cs="Arial"/>
                <w:b/>
                <w:bCs/>
                <w:sz w:val="20"/>
                <w:szCs w:val="20"/>
              </w:rPr>
            </w:pPr>
            <w:r w:rsidRPr="00ED48F4">
              <w:rPr>
                <w:rFonts w:cs="Arial"/>
                <w:b/>
                <w:bCs/>
                <w:sz w:val="20"/>
                <w:szCs w:val="20"/>
              </w:rPr>
              <w:t xml:space="preserve">RFP Section 2. Scope of Services </w:t>
            </w:r>
          </w:p>
          <w:p w14:paraId="682B35ED" w14:textId="2351C913" w:rsidR="0026014E" w:rsidRPr="00BC1DAD" w:rsidRDefault="006270AA" w:rsidP="006270AA">
            <w:pPr>
              <w:spacing w:before="120" w:after="120"/>
              <w:rPr>
                <w:rFonts w:cs="Arial"/>
                <w:sz w:val="20"/>
                <w:szCs w:val="20"/>
              </w:rPr>
            </w:pPr>
            <w:r w:rsidRPr="00ED48F4">
              <w:rPr>
                <w:rFonts w:cs="Arial"/>
                <w:sz w:val="20"/>
                <w:szCs w:val="20"/>
              </w:rPr>
              <w:t>2.9 Subcontracting – Civil Engineer</w:t>
            </w:r>
            <w:r w:rsidRPr="00BC1DAD">
              <w:rPr>
                <w:rFonts w:cs="Arial"/>
                <w:sz w:val="20"/>
                <w:szCs w:val="20"/>
              </w:rPr>
              <w:t xml:space="preserve"> </w:t>
            </w: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5CC0C30D" w14:textId="0D95720B" w:rsidR="0026014E" w:rsidRPr="00BC1DAD" w:rsidRDefault="0026014E" w:rsidP="0026014E">
            <w:pPr>
              <w:spacing w:before="120" w:after="120"/>
              <w:jc w:val="center"/>
              <w:rPr>
                <w:rFonts w:cs="Arial"/>
                <w:sz w:val="22"/>
                <w:szCs w:val="22"/>
              </w:rPr>
            </w:pPr>
            <w:r w:rsidRPr="00272248">
              <w:rPr>
                <w:rFonts w:cs="Arial"/>
                <w:sz w:val="22"/>
                <w:szCs w:val="22"/>
              </w:rPr>
              <w:t>1</w:t>
            </w:r>
            <w:r w:rsidR="006270AA">
              <w:rPr>
                <w:rFonts w:cs="Arial"/>
                <w:sz w:val="22"/>
                <w:szCs w:val="22"/>
              </w:rPr>
              <w:t>4 -15</w:t>
            </w:r>
          </w:p>
        </w:tc>
        <w:tc>
          <w:tcPr>
            <w:tcW w:w="1914" w:type="pct"/>
            <w:tcBorders>
              <w:top w:val="single" w:sz="8" w:space="0" w:color="000000"/>
              <w:left w:val="single" w:sz="8" w:space="0" w:color="000000"/>
              <w:bottom w:val="single" w:sz="8" w:space="0" w:color="000000"/>
              <w:right w:val="single" w:sz="8" w:space="0" w:color="000000"/>
            </w:tcBorders>
            <w:shd w:val="clear" w:color="auto" w:fill="auto"/>
          </w:tcPr>
          <w:p w14:paraId="6BFCDADE" w14:textId="77777777" w:rsidR="006270AA" w:rsidRPr="004C1F93" w:rsidRDefault="006270AA" w:rsidP="006270AA">
            <w:pPr>
              <w:spacing w:line="240" w:lineRule="atLeast"/>
              <w:jc w:val="both"/>
              <w:rPr>
                <w:rFonts w:cs="Arial"/>
                <w:sz w:val="22"/>
                <w:szCs w:val="22"/>
              </w:rPr>
            </w:pPr>
            <w:r w:rsidRPr="004C1F93">
              <w:rPr>
                <w:rFonts w:cs="Arial"/>
                <w:sz w:val="22"/>
                <w:szCs w:val="22"/>
              </w:rPr>
              <w:t>The Department’s response to Bidder Questions, round 1, references BVF Engineering, Inc. as a certified subcontractor used on a similar engagement.  However, BVF Engineering, Inc. appears to be certified as an MBE entity rather than both an MBE and WBE entity.</w:t>
            </w:r>
          </w:p>
          <w:p w14:paraId="440BE69C" w14:textId="5E655761" w:rsidR="0026014E" w:rsidRPr="00AE1FA6" w:rsidRDefault="006270AA" w:rsidP="006270AA">
            <w:pPr>
              <w:spacing w:before="120" w:after="120"/>
              <w:jc w:val="both"/>
              <w:rPr>
                <w:rFonts w:cs="Arial"/>
                <w:sz w:val="22"/>
                <w:szCs w:val="22"/>
                <w:highlight w:val="yellow"/>
              </w:rPr>
            </w:pPr>
            <w:r w:rsidRPr="004C1F93">
              <w:rPr>
                <w:rFonts w:cs="Arial"/>
                <w:sz w:val="22"/>
                <w:szCs w:val="22"/>
              </w:rPr>
              <w:t>Can the Department please clarify whether the civil engineering subcontractor requirement may be satisfied by either a NYS-certified MBE or WBE firm individually, or whether the Department requires participation from both an MBE-certified firm and a WBE-certified firm to satisfy the MWBE participation objectives for this engagement?</w:t>
            </w:r>
          </w:p>
        </w:tc>
        <w:tc>
          <w:tcPr>
            <w:tcW w:w="2038" w:type="pct"/>
            <w:tcBorders>
              <w:top w:val="single" w:sz="8" w:space="0" w:color="000000"/>
              <w:left w:val="single" w:sz="8" w:space="0" w:color="000000"/>
              <w:bottom w:val="single" w:sz="8" w:space="0" w:color="000000"/>
              <w:right w:val="single" w:sz="8" w:space="0" w:color="000000"/>
            </w:tcBorders>
            <w:shd w:val="clear" w:color="auto" w:fill="auto"/>
          </w:tcPr>
          <w:p w14:paraId="50395763" w14:textId="0B64AECD" w:rsidR="00B024D8" w:rsidRPr="00B024D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 xml:space="preserve">This solicitation establishes an overall MWBE participation goal of 30%. The goal is comprised of 15% percent for New York State-certified Minority-owned Business Enterprise (“MBE”) participation and 15% percent for New York State-certified Women-owned Business Enterprise (“WBE”) participation due to the availability of </w:t>
            </w:r>
            <w:r w:rsidR="00A1169C">
              <w:rPr>
                <w:rFonts w:cs="Arial"/>
                <w:b/>
                <w:bCs/>
                <w:color w:val="1F497D" w:themeColor="text2"/>
                <w:sz w:val="22"/>
                <w:szCs w:val="22"/>
              </w:rPr>
              <w:t>C</w:t>
            </w:r>
            <w:r w:rsidRPr="00B024D8">
              <w:rPr>
                <w:rFonts w:cs="Arial"/>
                <w:b/>
                <w:bCs/>
                <w:color w:val="1F497D" w:themeColor="text2"/>
                <w:sz w:val="22"/>
                <w:szCs w:val="22"/>
              </w:rPr>
              <w:t xml:space="preserve">ivil </w:t>
            </w:r>
            <w:r w:rsidR="00A1169C">
              <w:rPr>
                <w:rFonts w:cs="Arial"/>
                <w:b/>
                <w:bCs/>
                <w:color w:val="1F497D" w:themeColor="text2"/>
                <w:sz w:val="22"/>
                <w:szCs w:val="22"/>
              </w:rPr>
              <w:t>E</w:t>
            </w:r>
            <w:r w:rsidRPr="00B024D8">
              <w:rPr>
                <w:rFonts w:cs="Arial"/>
                <w:b/>
                <w:bCs/>
                <w:color w:val="1F497D" w:themeColor="text2"/>
                <w:sz w:val="22"/>
                <w:szCs w:val="22"/>
              </w:rPr>
              <w:t xml:space="preserve">ngineers certified as MBE’s and WBE’s respectively.  </w:t>
            </w:r>
          </w:p>
          <w:p w14:paraId="42DA51C6" w14:textId="77777777" w:rsidR="00B024D8" w:rsidRPr="00B024D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 xml:space="preserve">Yes, the overall 30% goal requirement can be satisfied by engaging a NYS-certified MBE or WBE firm individually if: 1) the Contractor believes it best practicable to the engagement, 2) the Department </w:t>
            </w:r>
            <w:r w:rsidRPr="00B024D8">
              <w:rPr>
                <w:rFonts w:cs="Arial"/>
                <w:b/>
                <w:bCs/>
                <w:color w:val="1F497D" w:themeColor="text2"/>
                <w:sz w:val="22"/>
                <w:szCs w:val="22"/>
              </w:rPr>
              <w:lastRenderedPageBreak/>
              <w:t xml:space="preserve">concurs with the Contractor’s assessment, and 3) the Contractor submits a request for waiver. </w:t>
            </w:r>
          </w:p>
          <w:p w14:paraId="4C7FE67B" w14:textId="05476E59" w:rsidR="00B024D8" w:rsidRPr="00B024D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 xml:space="preserve">Bidders are expected to demonstrate good faith efforts to meet the full 30% participation goal. If after making good faith efforts, the </w:t>
            </w:r>
            <w:r w:rsidR="00A1169C">
              <w:rPr>
                <w:rFonts w:cs="Arial"/>
                <w:b/>
                <w:bCs/>
                <w:color w:val="1F497D" w:themeColor="text2"/>
                <w:sz w:val="22"/>
                <w:szCs w:val="22"/>
              </w:rPr>
              <w:t>B</w:t>
            </w:r>
            <w:r w:rsidRPr="00B024D8">
              <w:rPr>
                <w:rFonts w:cs="Arial"/>
                <w:b/>
                <w:bCs/>
                <w:color w:val="1F497D" w:themeColor="text2"/>
                <w:sz w:val="22"/>
                <w:szCs w:val="22"/>
              </w:rPr>
              <w:t xml:space="preserve">idder is unable to achieve the MWBE Contract Goals stated herein, including the 15% MBE and 15% WBE, the Contractor must submit a request for a waiver, in full or partial. </w:t>
            </w:r>
          </w:p>
          <w:p w14:paraId="2A5E207E" w14:textId="61B9D672" w:rsidR="0026014E" w:rsidRPr="004A3E9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For more information regarding Waivers, please see RFP 26-100 Exhibit A at Article XIII. E. Waivers, and Exhibit J – Request For Waiver Form.</w:t>
            </w:r>
          </w:p>
        </w:tc>
      </w:tr>
      <w:bookmarkEnd w:id="42"/>
      <w:tr w:rsidR="006270AA" w:rsidRPr="00BC1DAD" w14:paraId="7C0807D8" w14:textId="77777777" w:rsidTr="00B024D8">
        <w:tc>
          <w:tcPr>
            <w:tcW w:w="122" w:type="pct"/>
            <w:tcBorders>
              <w:top w:val="single" w:sz="8" w:space="0" w:color="000000"/>
              <w:left w:val="single" w:sz="8" w:space="0" w:color="000000"/>
              <w:bottom w:val="single" w:sz="8" w:space="0" w:color="000000"/>
              <w:right w:val="single" w:sz="8" w:space="0" w:color="000000"/>
            </w:tcBorders>
            <w:shd w:val="pct20" w:color="auto" w:fill="auto"/>
          </w:tcPr>
          <w:p w14:paraId="4B875822" w14:textId="77777777" w:rsidR="006270AA" w:rsidRPr="00BC1DAD" w:rsidRDefault="006270AA" w:rsidP="006270AA">
            <w:pPr>
              <w:spacing w:before="120" w:after="120"/>
              <w:jc w:val="center"/>
              <w:rPr>
                <w:rFonts w:cs="Arial"/>
                <w:sz w:val="22"/>
                <w:szCs w:val="22"/>
              </w:rPr>
            </w:pPr>
            <w:r w:rsidRPr="00BC1DAD">
              <w:rPr>
                <w:rFonts w:cs="Arial"/>
                <w:sz w:val="22"/>
                <w:szCs w:val="22"/>
              </w:rPr>
              <w:lastRenderedPageBreak/>
              <w:t>3</w:t>
            </w:r>
          </w:p>
        </w:tc>
        <w:tc>
          <w:tcPr>
            <w:tcW w:w="679" w:type="pct"/>
            <w:tcBorders>
              <w:top w:val="single" w:sz="8" w:space="0" w:color="000000"/>
              <w:left w:val="single" w:sz="8" w:space="0" w:color="000000"/>
              <w:bottom w:val="single" w:sz="8" w:space="0" w:color="000000"/>
              <w:right w:val="single" w:sz="8" w:space="0" w:color="000000"/>
            </w:tcBorders>
            <w:shd w:val="clear" w:color="auto" w:fill="auto"/>
          </w:tcPr>
          <w:p w14:paraId="46BBCE94" w14:textId="77777777" w:rsidR="006270AA" w:rsidRPr="00ED48F4" w:rsidRDefault="006270AA" w:rsidP="006270AA">
            <w:pPr>
              <w:spacing w:before="120" w:after="120"/>
              <w:rPr>
                <w:rFonts w:cs="Arial"/>
                <w:b/>
                <w:bCs/>
                <w:sz w:val="20"/>
                <w:szCs w:val="20"/>
              </w:rPr>
            </w:pPr>
            <w:r w:rsidRPr="00ED48F4">
              <w:rPr>
                <w:rFonts w:cs="Arial"/>
                <w:b/>
                <w:bCs/>
                <w:sz w:val="20"/>
                <w:szCs w:val="20"/>
              </w:rPr>
              <w:t xml:space="preserve">RFP Section 2. Scope of Services </w:t>
            </w:r>
          </w:p>
          <w:p w14:paraId="224CDC1B" w14:textId="2DF0D79D" w:rsidR="006270AA" w:rsidRPr="00BC1DAD" w:rsidRDefault="006270AA" w:rsidP="006270AA">
            <w:pPr>
              <w:spacing w:before="120" w:after="120"/>
              <w:rPr>
                <w:rFonts w:cs="Arial"/>
                <w:sz w:val="20"/>
                <w:szCs w:val="20"/>
              </w:rPr>
            </w:pPr>
            <w:r w:rsidRPr="00ED48F4">
              <w:rPr>
                <w:rFonts w:cs="Arial"/>
                <w:sz w:val="20"/>
                <w:szCs w:val="20"/>
              </w:rPr>
              <w:t>2.9 Subcontracting – Civil Engineer</w:t>
            </w:r>
            <w:r w:rsidRPr="00BC1DAD">
              <w:rPr>
                <w:rFonts w:cs="Arial"/>
                <w:sz w:val="20"/>
                <w:szCs w:val="20"/>
              </w:rPr>
              <w:t xml:space="preserve"> </w:t>
            </w:r>
          </w:p>
        </w:tc>
        <w:tc>
          <w:tcPr>
            <w:tcW w:w="247" w:type="pct"/>
            <w:tcBorders>
              <w:top w:val="single" w:sz="8" w:space="0" w:color="000000"/>
              <w:left w:val="single" w:sz="8" w:space="0" w:color="000000"/>
              <w:bottom w:val="single" w:sz="8" w:space="0" w:color="000000"/>
              <w:right w:val="single" w:sz="8" w:space="0" w:color="000000"/>
            </w:tcBorders>
            <w:shd w:val="clear" w:color="auto" w:fill="auto"/>
          </w:tcPr>
          <w:p w14:paraId="79A4C3C8" w14:textId="2331E352" w:rsidR="006270AA" w:rsidRPr="00BC1DAD" w:rsidRDefault="006270AA" w:rsidP="006270AA">
            <w:pPr>
              <w:spacing w:before="120" w:after="120"/>
              <w:jc w:val="center"/>
              <w:rPr>
                <w:rFonts w:cs="Arial"/>
                <w:sz w:val="22"/>
                <w:szCs w:val="22"/>
              </w:rPr>
            </w:pPr>
            <w:r w:rsidRPr="00272248">
              <w:rPr>
                <w:rFonts w:cs="Arial"/>
                <w:sz w:val="22"/>
                <w:szCs w:val="22"/>
              </w:rPr>
              <w:t>1</w:t>
            </w:r>
            <w:r>
              <w:rPr>
                <w:rFonts w:cs="Arial"/>
                <w:sz w:val="22"/>
                <w:szCs w:val="22"/>
              </w:rPr>
              <w:t>4 -15</w:t>
            </w:r>
          </w:p>
        </w:tc>
        <w:tc>
          <w:tcPr>
            <w:tcW w:w="1914" w:type="pct"/>
            <w:tcBorders>
              <w:top w:val="single" w:sz="8" w:space="0" w:color="000000"/>
              <w:left w:val="single" w:sz="8" w:space="0" w:color="000000"/>
              <w:bottom w:val="single" w:sz="8" w:space="0" w:color="000000"/>
              <w:right w:val="single" w:sz="8" w:space="0" w:color="000000"/>
            </w:tcBorders>
            <w:shd w:val="clear" w:color="auto" w:fill="auto"/>
          </w:tcPr>
          <w:p w14:paraId="7EFC3082" w14:textId="0692AB7B" w:rsidR="006270AA" w:rsidRPr="00AE1FA6" w:rsidRDefault="006270AA" w:rsidP="006270AA">
            <w:pPr>
              <w:spacing w:before="120" w:after="120"/>
              <w:jc w:val="both"/>
              <w:rPr>
                <w:rFonts w:cs="Arial"/>
                <w:sz w:val="22"/>
                <w:szCs w:val="22"/>
                <w:highlight w:val="yellow"/>
              </w:rPr>
            </w:pPr>
            <w:r w:rsidRPr="004C1F93">
              <w:rPr>
                <w:rFonts w:cs="Arial"/>
                <w:sz w:val="22"/>
                <w:szCs w:val="22"/>
              </w:rPr>
              <w:t xml:space="preserve">If multiple proposing firms engage the same MWBE Civil Engineering subconsultant for purposes of satisfying the MWBE participation requirements under Section 2.9 of the RFP, will the Department view this negatively during the evaluation process, or otherwise apply any scoring reduction, conflict consideration, or limitation related to the use of the same MWBE firm across multiple proposals? </w:t>
            </w:r>
          </w:p>
        </w:tc>
        <w:tc>
          <w:tcPr>
            <w:tcW w:w="2038" w:type="pct"/>
            <w:tcBorders>
              <w:top w:val="single" w:sz="8" w:space="0" w:color="000000"/>
              <w:left w:val="single" w:sz="8" w:space="0" w:color="000000"/>
              <w:bottom w:val="single" w:sz="8" w:space="0" w:color="000000"/>
              <w:right w:val="single" w:sz="8" w:space="0" w:color="000000"/>
            </w:tcBorders>
            <w:shd w:val="clear" w:color="auto" w:fill="auto"/>
          </w:tcPr>
          <w:p w14:paraId="710E39BE" w14:textId="454AEDF9" w:rsidR="00B024D8" w:rsidRPr="00B024D8" w:rsidRDefault="00B024D8" w:rsidP="00B024D8">
            <w:pPr>
              <w:spacing w:before="60" w:after="120"/>
              <w:jc w:val="both"/>
              <w:rPr>
                <w:rFonts w:cs="Arial"/>
                <w:b/>
                <w:bCs/>
                <w:color w:val="1F497D" w:themeColor="text2"/>
                <w:sz w:val="22"/>
                <w:szCs w:val="22"/>
              </w:rPr>
            </w:pPr>
            <w:r w:rsidRPr="00B024D8">
              <w:rPr>
                <w:rFonts w:cs="Arial"/>
                <w:b/>
                <w:bCs/>
                <w:color w:val="1F497D" w:themeColor="text2"/>
                <w:sz w:val="22"/>
                <w:szCs w:val="22"/>
              </w:rPr>
              <w:t xml:space="preserve">No, evaluation is indifferent to the same Civil Engineer being identified across multiple </w:t>
            </w:r>
            <w:r w:rsidR="00A1169C">
              <w:rPr>
                <w:rFonts w:cs="Arial"/>
                <w:b/>
                <w:bCs/>
                <w:color w:val="1F497D" w:themeColor="text2"/>
                <w:sz w:val="22"/>
                <w:szCs w:val="22"/>
              </w:rPr>
              <w:t>P</w:t>
            </w:r>
            <w:r w:rsidRPr="00B024D8">
              <w:rPr>
                <w:rFonts w:cs="Arial"/>
                <w:b/>
                <w:bCs/>
                <w:color w:val="1F497D" w:themeColor="text2"/>
                <w:sz w:val="22"/>
                <w:szCs w:val="22"/>
              </w:rPr>
              <w:t xml:space="preserve">roposals. </w:t>
            </w:r>
          </w:p>
          <w:p w14:paraId="49CA1BA5" w14:textId="74CC9DA5" w:rsidR="00B024D8" w:rsidRPr="00B024D8" w:rsidRDefault="00B024D8" w:rsidP="00B024D8">
            <w:pPr>
              <w:spacing w:before="120" w:after="120"/>
              <w:jc w:val="both"/>
              <w:rPr>
                <w:rFonts w:cs="Arial"/>
                <w:b/>
                <w:bCs/>
                <w:color w:val="1F497D" w:themeColor="text2"/>
                <w:sz w:val="22"/>
                <w:szCs w:val="22"/>
              </w:rPr>
            </w:pPr>
            <w:r w:rsidRPr="00B024D8">
              <w:rPr>
                <w:rFonts w:cs="Arial"/>
                <w:b/>
                <w:bCs/>
                <w:color w:val="1F497D" w:themeColor="text2"/>
                <w:sz w:val="22"/>
                <w:szCs w:val="22"/>
              </w:rPr>
              <w:t xml:space="preserve">Evaluation is based on information presented in a Bidder’s </w:t>
            </w:r>
            <w:r w:rsidR="00A1169C">
              <w:rPr>
                <w:rFonts w:cs="Arial"/>
                <w:b/>
                <w:bCs/>
                <w:color w:val="1F497D" w:themeColor="text2"/>
                <w:sz w:val="22"/>
                <w:szCs w:val="22"/>
              </w:rPr>
              <w:t>P</w:t>
            </w:r>
            <w:r w:rsidRPr="00B024D8">
              <w:rPr>
                <w:rFonts w:cs="Arial"/>
                <w:b/>
                <w:bCs/>
                <w:color w:val="1F497D" w:themeColor="text2"/>
                <w:sz w:val="22"/>
                <w:szCs w:val="22"/>
              </w:rPr>
              <w:t xml:space="preserve">roposal addressing the RFP requirement(s). The name of the </w:t>
            </w:r>
            <w:r w:rsidR="00D36B26">
              <w:rPr>
                <w:rFonts w:cs="Arial"/>
                <w:b/>
                <w:bCs/>
                <w:color w:val="1F497D" w:themeColor="text2"/>
                <w:sz w:val="22"/>
                <w:szCs w:val="22"/>
              </w:rPr>
              <w:t>S</w:t>
            </w:r>
            <w:r w:rsidRPr="00B024D8">
              <w:rPr>
                <w:rFonts w:cs="Arial"/>
                <w:b/>
                <w:bCs/>
                <w:color w:val="1F497D" w:themeColor="text2"/>
                <w:sz w:val="22"/>
                <w:szCs w:val="22"/>
              </w:rPr>
              <w:t xml:space="preserve">ubcontractor is not an evaluation component, whether the </w:t>
            </w:r>
            <w:r w:rsidR="00D36B26">
              <w:rPr>
                <w:rFonts w:cs="Arial"/>
                <w:b/>
                <w:bCs/>
                <w:color w:val="1F497D" w:themeColor="text2"/>
                <w:sz w:val="22"/>
                <w:szCs w:val="22"/>
              </w:rPr>
              <w:t>S</w:t>
            </w:r>
            <w:r w:rsidRPr="00B024D8">
              <w:rPr>
                <w:rFonts w:cs="Arial"/>
                <w:b/>
                <w:bCs/>
                <w:color w:val="1F497D" w:themeColor="text2"/>
                <w:sz w:val="22"/>
                <w:szCs w:val="22"/>
              </w:rPr>
              <w:t xml:space="preserve">ubcontractor is a licensed engineer and where it is licensed is an evaluation component. </w:t>
            </w:r>
          </w:p>
          <w:p w14:paraId="2BDDEE34" w14:textId="0FDC88A1" w:rsidR="006270AA" w:rsidRPr="0026014E" w:rsidRDefault="00B024D8" w:rsidP="00B024D8">
            <w:pPr>
              <w:spacing w:before="120" w:after="60"/>
              <w:jc w:val="both"/>
              <w:rPr>
                <w:rFonts w:cs="Arial"/>
                <w:b/>
                <w:bCs/>
                <w:color w:val="1F497D" w:themeColor="text2"/>
                <w:sz w:val="22"/>
                <w:szCs w:val="22"/>
                <w:highlight w:val="yellow"/>
              </w:rPr>
            </w:pPr>
            <w:r w:rsidRPr="00B024D8">
              <w:rPr>
                <w:rFonts w:cs="Arial"/>
                <w:b/>
                <w:bCs/>
                <w:color w:val="1F497D" w:themeColor="text2"/>
                <w:sz w:val="22"/>
                <w:szCs w:val="22"/>
              </w:rPr>
              <w:t xml:space="preserve">For clarification, while the Department identified one </w:t>
            </w:r>
            <w:r w:rsidR="00A1169C">
              <w:rPr>
                <w:rFonts w:cs="Arial"/>
                <w:b/>
                <w:bCs/>
                <w:color w:val="1F497D" w:themeColor="text2"/>
                <w:sz w:val="22"/>
                <w:szCs w:val="22"/>
              </w:rPr>
              <w:t>C</w:t>
            </w:r>
            <w:r w:rsidRPr="00B024D8">
              <w:rPr>
                <w:rFonts w:cs="Arial"/>
                <w:b/>
                <w:bCs/>
                <w:color w:val="1F497D" w:themeColor="text2"/>
                <w:sz w:val="22"/>
                <w:szCs w:val="22"/>
              </w:rPr>
              <w:t xml:space="preserve">ivil </w:t>
            </w:r>
            <w:r w:rsidR="00A1169C">
              <w:rPr>
                <w:rFonts w:cs="Arial"/>
                <w:b/>
                <w:bCs/>
                <w:color w:val="1F497D" w:themeColor="text2"/>
                <w:sz w:val="22"/>
                <w:szCs w:val="22"/>
              </w:rPr>
              <w:t>E</w:t>
            </w:r>
            <w:r w:rsidRPr="00B024D8">
              <w:rPr>
                <w:rFonts w:cs="Arial"/>
                <w:b/>
                <w:bCs/>
                <w:color w:val="1F497D" w:themeColor="text2"/>
                <w:sz w:val="22"/>
                <w:szCs w:val="22"/>
              </w:rPr>
              <w:t xml:space="preserve">ngineer firm used in a similar engagement, Bidders are highly encouraged to perform due diligence and good faith effort by reaching out to multiple certified </w:t>
            </w:r>
            <w:r w:rsidR="00A1169C">
              <w:rPr>
                <w:rFonts w:cs="Arial"/>
                <w:b/>
                <w:bCs/>
                <w:color w:val="1F497D" w:themeColor="text2"/>
                <w:sz w:val="22"/>
                <w:szCs w:val="22"/>
              </w:rPr>
              <w:t>C</w:t>
            </w:r>
            <w:r w:rsidRPr="00B024D8">
              <w:rPr>
                <w:rFonts w:cs="Arial"/>
                <w:b/>
                <w:bCs/>
                <w:color w:val="1F497D" w:themeColor="text2"/>
                <w:sz w:val="22"/>
                <w:szCs w:val="22"/>
              </w:rPr>
              <w:t xml:space="preserve">ivil </w:t>
            </w:r>
            <w:r w:rsidR="00A1169C">
              <w:rPr>
                <w:rFonts w:cs="Arial"/>
                <w:b/>
                <w:bCs/>
                <w:color w:val="1F497D" w:themeColor="text2"/>
                <w:sz w:val="22"/>
                <w:szCs w:val="22"/>
              </w:rPr>
              <w:t>E</w:t>
            </w:r>
            <w:r w:rsidRPr="00B024D8">
              <w:rPr>
                <w:rFonts w:cs="Arial"/>
                <w:b/>
                <w:bCs/>
                <w:color w:val="1F497D" w:themeColor="text2"/>
                <w:sz w:val="22"/>
                <w:szCs w:val="22"/>
              </w:rPr>
              <w:t>ngineers for possible engagement.</w:t>
            </w:r>
          </w:p>
        </w:tc>
      </w:tr>
      <w:bookmarkEnd w:id="41"/>
    </w:tbl>
    <w:p w14:paraId="226CA1BE" w14:textId="77777777" w:rsidR="00D240D9" w:rsidRPr="00B024D8" w:rsidRDefault="00D240D9" w:rsidP="00B024D8">
      <w:pPr>
        <w:spacing w:before="240" w:after="240"/>
        <w:rPr>
          <w:rFonts w:cs="Arial"/>
          <w:sz w:val="2"/>
          <w:szCs w:val="2"/>
        </w:rPr>
      </w:pPr>
    </w:p>
    <w:sectPr w:rsidR="00D240D9" w:rsidRPr="00B024D8" w:rsidSect="004F63AB">
      <w:footerReference w:type="default" r:id="rId12"/>
      <w:type w:val="continuous"/>
      <w:pgSz w:w="15840" w:h="12240" w:orient="landscape"/>
      <w:pgMar w:top="720" w:right="288" w:bottom="720" w:left="28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E0B6" w14:textId="77777777" w:rsidR="00DC06B6" w:rsidRDefault="00DC06B6" w:rsidP="008B0D31">
      <w:r>
        <w:separator/>
      </w:r>
    </w:p>
  </w:endnote>
  <w:endnote w:type="continuationSeparator" w:id="0">
    <w:p w14:paraId="19AEE7BE" w14:textId="77777777" w:rsidR="00DC06B6" w:rsidRDefault="00DC06B6" w:rsidP="008B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Candara"/>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216277"/>
      <w:docPartObj>
        <w:docPartGallery w:val="Page Numbers (Bottom of Page)"/>
        <w:docPartUnique/>
      </w:docPartObj>
    </w:sdtPr>
    <w:sdtEndPr/>
    <w:sdtContent>
      <w:sdt>
        <w:sdtPr>
          <w:id w:val="-1769616900"/>
          <w:docPartObj>
            <w:docPartGallery w:val="Page Numbers (Top of Page)"/>
            <w:docPartUnique/>
          </w:docPartObj>
        </w:sdtPr>
        <w:sdtEndPr/>
        <w:sdtContent>
          <w:p w14:paraId="27D5292E" w14:textId="77777777" w:rsidR="00093C4F" w:rsidRDefault="00093C4F" w:rsidP="00DC1950">
            <w:pPr>
              <w:spacing w:before="200"/>
              <w:jc w:val="right"/>
            </w:pPr>
          </w:p>
          <w:tbl>
            <w:tblPr>
              <w:tblStyle w:val="TableGrid"/>
              <w:tblW w:w="10890" w:type="dxa"/>
              <w:tblInd w:w="-635" w:type="dxa"/>
              <w:tblLook w:val="04A0" w:firstRow="1" w:lastRow="0" w:firstColumn="1" w:lastColumn="0" w:noHBand="0" w:noVBand="1"/>
            </w:tblPr>
            <w:tblGrid>
              <w:gridCol w:w="10890"/>
            </w:tblGrid>
            <w:tr w:rsidR="00093C4F" w14:paraId="77C4DB46" w14:textId="77777777" w:rsidTr="00E24A82">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1980A84A" w14:textId="4BB6EB4E" w:rsidR="00093C4F" w:rsidRPr="00E24A82" w:rsidRDefault="00093C4F" w:rsidP="00E24A82">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2851CBFD" w14:textId="454ABE5B" w:rsidR="00093C4F" w:rsidRPr="002C2AA6" w:rsidRDefault="00D36B26" w:rsidP="00E24A82"/>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74707"/>
      <w:docPartObj>
        <w:docPartGallery w:val="Page Numbers (Top of Page)"/>
        <w:docPartUnique/>
      </w:docPartObj>
    </w:sdtPr>
    <w:sdtEndPr/>
    <w:sdtContent>
      <w:sdt>
        <w:sdtPr>
          <w:id w:val="2137513798"/>
          <w:docPartObj>
            <w:docPartGallery w:val="Page Numbers (Bottom of Page)"/>
            <w:docPartUnique/>
          </w:docPartObj>
        </w:sdtPr>
        <w:sdtEndPr/>
        <w:sdtContent>
          <w:sdt>
            <w:sdtPr>
              <w:id w:val="-354734578"/>
              <w:docPartObj>
                <w:docPartGallery w:val="Page Numbers (Top of Page)"/>
                <w:docPartUnique/>
              </w:docPartObj>
            </w:sdtPr>
            <w:sdtEndPr/>
            <w:sdtContent>
              <w:p w14:paraId="184F1649" w14:textId="77777777" w:rsidR="00897F46" w:rsidRDefault="00897F46" w:rsidP="00897F46">
                <w:pPr>
                  <w:spacing w:before="200"/>
                  <w:jc w:val="right"/>
                </w:pPr>
              </w:p>
              <w:tbl>
                <w:tblPr>
                  <w:tblStyle w:val="TableGrid"/>
                  <w:tblW w:w="10890" w:type="dxa"/>
                  <w:tblInd w:w="-635" w:type="dxa"/>
                  <w:tblLook w:val="04A0" w:firstRow="1" w:lastRow="0" w:firstColumn="1" w:lastColumn="0" w:noHBand="0" w:noVBand="1"/>
                </w:tblPr>
                <w:tblGrid>
                  <w:gridCol w:w="10890"/>
                </w:tblGrid>
                <w:tr w:rsidR="00897F46" w14:paraId="59291B9C" w14:textId="77777777" w:rsidTr="008F69A9">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2D16A79E" w14:textId="77777777" w:rsidR="00897F46" w:rsidRPr="00E24A82" w:rsidRDefault="00897F46" w:rsidP="00897F46">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191506E4" w14:textId="77777777" w:rsidR="00897F46" w:rsidRDefault="00D36B26" w:rsidP="00897F46"/>
            </w:sdtContent>
          </w:sdt>
        </w:sdtContent>
      </w:sdt>
      <w:p w14:paraId="3FE0FBA5" w14:textId="0C984636" w:rsidR="00093C4F" w:rsidRDefault="00D36B26" w:rsidP="00897F46">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E343" w14:textId="77777777" w:rsidR="00AE1FA6" w:rsidRDefault="00897F46" w:rsidP="00AE1FA6">
    <w:pPr>
      <w:pStyle w:val="Footer"/>
      <w:jc w:val="right"/>
      <w:rPr>
        <w:rFonts w:cs="Arial"/>
      </w:rPr>
    </w:pPr>
    <w:r w:rsidRPr="00855663">
      <w:rPr>
        <w:rFonts w:cs="Arial"/>
      </w:rPr>
      <w:t>RFP 2</w:t>
    </w:r>
    <w:r w:rsidR="00AE1FA6">
      <w:rPr>
        <w:rFonts w:cs="Arial"/>
      </w:rPr>
      <w:t>6</w:t>
    </w:r>
    <w:r w:rsidRPr="00855663">
      <w:rPr>
        <w:rFonts w:cs="Arial"/>
      </w:rPr>
      <w:t>-100 Real Property Appraisal Services</w:t>
    </w:r>
    <w:r w:rsidR="00AE1FA6">
      <w:rPr>
        <w:rFonts w:cs="Arial"/>
      </w:rPr>
      <w:t xml:space="preserve"> </w:t>
    </w:r>
    <w:r w:rsidR="00AE1FA6" w:rsidRPr="00AE1FA6">
      <w:rPr>
        <w:rFonts w:cs="Arial"/>
      </w:rPr>
      <w:t xml:space="preserve">– Special </w:t>
    </w:r>
  </w:p>
  <w:p w14:paraId="43C48E50" w14:textId="0F69975F" w:rsidR="00AE1FA6" w:rsidRDefault="00AE1FA6" w:rsidP="00AE1FA6">
    <w:pPr>
      <w:pStyle w:val="Footer"/>
      <w:jc w:val="right"/>
      <w:rPr>
        <w:rFonts w:cs="Arial"/>
      </w:rPr>
    </w:pPr>
    <w:r w:rsidRPr="00AE1FA6">
      <w:rPr>
        <w:rFonts w:cs="Arial"/>
      </w:rPr>
      <w:t xml:space="preserve">Franchise Properties and Telecommunications </w:t>
    </w:r>
  </w:p>
  <w:p w14:paraId="3C94B11D" w14:textId="1D904C1C" w:rsidR="00897F46" w:rsidRDefault="00AE1FA6" w:rsidP="00897F46">
    <w:pPr>
      <w:pStyle w:val="Footer"/>
      <w:jc w:val="right"/>
    </w:pPr>
    <w:r w:rsidRPr="00AE1FA6">
      <w:rPr>
        <w:rFonts w:cs="Arial"/>
      </w:rPr>
      <w:t>Assessment Ceiling Properties</w:t>
    </w:r>
    <w:r w:rsidR="00855663">
      <w:rPr>
        <w:rFonts w:cs="Arial"/>
      </w:rPr>
      <w:t xml:space="preserve"> </w:t>
    </w:r>
    <w:r w:rsidR="00897F46" w:rsidRPr="00855663">
      <w:rPr>
        <w:rFonts w:cs="Arial"/>
      </w:rPr>
      <w:t xml:space="preserve">| </w:t>
    </w:r>
    <w:sdt>
      <w:sdtPr>
        <w:id w:val="-1562623397"/>
        <w:docPartObj>
          <w:docPartGallery w:val="Page Numbers (Bottom of Page)"/>
          <w:docPartUnique/>
        </w:docPartObj>
      </w:sdtPr>
      <w:sdtEndPr/>
      <w:sdtContent>
        <w:sdt>
          <w:sdtPr>
            <w:id w:val="-38290327"/>
            <w:docPartObj>
              <w:docPartGallery w:val="Page Numbers (Top of Page)"/>
              <w:docPartUnique/>
            </w:docPartObj>
          </w:sdtPr>
          <w:sdtEndPr/>
          <w:sdtContent>
            <w:r w:rsidR="00897F46">
              <w:t xml:space="preserve">Page </w:t>
            </w:r>
            <w:r w:rsidR="00897F46">
              <w:rPr>
                <w:b/>
                <w:bCs/>
              </w:rPr>
              <w:fldChar w:fldCharType="begin"/>
            </w:r>
            <w:r w:rsidR="00897F46">
              <w:rPr>
                <w:b/>
                <w:bCs/>
              </w:rPr>
              <w:instrText xml:space="preserve"> PAGE </w:instrText>
            </w:r>
            <w:r w:rsidR="00897F46">
              <w:rPr>
                <w:b/>
                <w:bCs/>
              </w:rPr>
              <w:fldChar w:fldCharType="separate"/>
            </w:r>
            <w:r w:rsidR="00897F46">
              <w:rPr>
                <w:b/>
                <w:bCs/>
              </w:rPr>
              <w:t>2</w:t>
            </w:r>
            <w:r w:rsidR="00897F46">
              <w:rPr>
                <w:b/>
                <w:bCs/>
              </w:rPr>
              <w:fldChar w:fldCharType="end"/>
            </w:r>
          </w:sdtContent>
        </w:sdt>
      </w:sdtContent>
    </w:sdt>
  </w:p>
  <w:p w14:paraId="2F5B8D16" w14:textId="46F71C0E" w:rsidR="00897F46" w:rsidRDefault="00897F46" w:rsidP="00897F46">
    <w:pPr>
      <w:jc w:val="right"/>
    </w:pPr>
    <w:r>
      <w:rPr>
        <w:b/>
        <w:bCs/>
      </w:rPr>
      <w:t>Questions and Answers</w:t>
    </w:r>
    <w:r w:rsidR="00955338">
      <w:rPr>
        <w:b/>
        <w:bCs/>
      </w:rPr>
      <w:t xml:space="preserve"> – Round 2 </w:t>
    </w:r>
  </w:p>
  <w:p w14:paraId="66405FE1" w14:textId="77777777" w:rsidR="00897F46" w:rsidRPr="00897F46" w:rsidRDefault="00897F46" w:rsidP="00897F46">
    <w:pPr>
      <w:pStyle w:val="Footer"/>
    </w:pPr>
  </w:p>
  <w:p w14:paraId="7F9DBB91" w14:textId="77777777" w:rsidR="00656111" w:rsidRPr="004F63AB" w:rsidRDefault="00656111" w:rsidP="004F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B080" w14:textId="77777777" w:rsidR="00DC06B6" w:rsidRDefault="00DC06B6" w:rsidP="008B0D31">
      <w:r>
        <w:separator/>
      </w:r>
    </w:p>
  </w:footnote>
  <w:footnote w:type="continuationSeparator" w:id="0">
    <w:p w14:paraId="7B8CA582" w14:textId="77777777" w:rsidR="00DC06B6" w:rsidRDefault="00DC06B6" w:rsidP="008B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071" w14:textId="77777777"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bookmarkStart w:id="3" w:name="_Hlk129851461"/>
    <w:bookmarkStart w:id="4" w:name="_Hlk129851462"/>
    <w:bookmarkStart w:id="5" w:name="_Hlk129851463"/>
    <w:bookmarkStart w:id="6" w:name="_Hlk129851464"/>
    <w:bookmarkStart w:id="7" w:name="_Hlk129851465"/>
    <w:bookmarkStart w:id="8" w:name="_Hlk129851466"/>
    <w:bookmarkStart w:id="9" w:name="_Hlk129851467"/>
    <w:bookmarkStart w:id="10" w:name="_Hlk129851468"/>
    <w:bookmarkStart w:id="11" w:name="_Hlk129851474"/>
    <w:bookmarkStart w:id="12" w:name="_Hlk129851475"/>
    <w:bookmarkStart w:id="13" w:name="_Hlk129851477"/>
    <w:bookmarkStart w:id="14" w:name="_Hlk129851478"/>
    <w:bookmarkStart w:id="15" w:name="_Hlk129851479"/>
    <w:bookmarkStart w:id="16" w:name="_Hlk129851480"/>
    <w:bookmarkStart w:id="17" w:name="_Hlk130375343"/>
    <w:bookmarkStart w:id="18" w:name="_Hlk130375344"/>
    <w:bookmarkStart w:id="19" w:name="_Hlk127962892"/>
    <w:bookmarkStart w:id="20" w:name="_Hlk127962893"/>
    <w:bookmarkStart w:id="21" w:name="_Hlk127962894"/>
    <w:bookmarkStart w:id="22" w:name="_Hlk127962895"/>
    <w:bookmarkStart w:id="23" w:name="_Hlk127962896"/>
    <w:bookmarkStart w:id="24" w:name="_Hlk127962897"/>
    <w:bookmarkStart w:id="25" w:name="_Hlk130369723"/>
    <w:bookmarkStart w:id="26" w:name="_Hlk130369724"/>
    <w:bookmarkStart w:id="27" w:name="_Hlk130369725"/>
    <w:bookmarkStart w:id="28" w:name="_Hlk130369726"/>
    <w:bookmarkStart w:id="29" w:name="_Hlk130369727"/>
    <w:bookmarkStart w:id="30" w:name="_Hlk130369728"/>
    <w:bookmarkStart w:id="31" w:name="_Hlk130369729"/>
    <w:bookmarkStart w:id="32" w:name="_Hlk130369730"/>
    <w:bookmarkStart w:id="33" w:name="_Hlk130369731"/>
    <w:bookmarkStart w:id="34" w:name="_Hlk130369732"/>
    <w:bookmarkStart w:id="35" w:name="_Hlk130369733"/>
    <w:bookmarkStart w:id="36" w:name="_Hlk130369734"/>
    <w:bookmarkStart w:id="37" w:name="_Hlk133564404"/>
    <w:bookmarkStart w:id="38" w:name="_Hlk133564405"/>
    <w:bookmarkStart w:id="39" w:name="_Hlk133564427"/>
    <w:bookmarkStart w:id="40" w:name="_Hlk133564428"/>
    <w:r w:rsidRPr="003A2E82">
      <w:rPr>
        <w:rFonts w:eastAsia="Arial" w:cs="Arial"/>
      </w:rPr>
      <w:t>New York State Department of Taxation and Finance</w:t>
    </w:r>
  </w:p>
  <w:p w14:paraId="7BDD1ABA" w14:textId="24A5228D" w:rsidR="00897F46" w:rsidRPr="003A2E82" w:rsidRDefault="00897F46" w:rsidP="00897F46">
    <w:pPr>
      <w:widowControl w:val="0"/>
      <w:tabs>
        <w:tab w:val="left" w:pos="630"/>
        <w:tab w:val="left" w:pos="4680"/>
        <w:tab w:val="left" w:pos="4770"/>
        <w:tab w:val="left" w:pos="8820"/>
      </w:tabs>
      <w:autoSpaceDE w:val="0"/>
      <w:autoSpaceDN w:val="0"/>
      <w:ind w:left="450" w:right="720"/>
      <w:jc w:val="center"/>
      <w:rPr>
        <w:rFonts w:eastAsia="Arial" w:cs="Arial"/>
      </w:rPr>
    </w:pPr>
    <w:r w:rsidRPr="003A2E82">
      <w:rPr>
        <w:rFonts w:eastAsia="Arial" w:cs="Arial"/>
      </w:rPr>
      <w:t xml:space="preserve">Request for Proposals (RFP) </w:t>
    </w:r>
    <w:r>
      <w:rPr>
        <w:rFonts w:eastAsia="Arial" w:cs="Arial"/>
      </w:rPr>
      <w:t>2</w:t>
    </w:r>
    <w:r w:rsidR="00AE1FA6">
      <w:rPr>
        <w:rFonts w:eastAsia="Arial" w:cs="Arial"/>
      </w:rPr>
      <w:t>6</w:t>
    </w:r>
    <w:r>
      <w:rPr>
        <w:rFonts w:eastAsia="Arial" w:cs="Arial"/>
      </w:rPr>
      <w:t>-100</w:t>
    </w:r>
  </w:p>
  <w:p w14:paraId="184F8D5C" w14:textId="0A9236E8" w:rsidR="00AE1FA6" w:rsidRDefault="00897F4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rPr>
    </w:pPr>
    <w:r>
      <w:rPr>
        <w:rFonts w:eastAsia="Arial" w:cs="Arial"/>
      </w:rPr>
      <w:t>Real Property Appraisal</w:t>
    </w:r>
    <w:r w:rsidRPr="003A2E82">
      <w:rPr>
        <w:rFonts w:eastAsia="Arial" w:cs="Arial"/>
      </w:rPr>
      <w:t xml:space="preserve"> Services</w:t>
    </w:r>
    <w:r w:rsidR="00AE1FA6">
      <w:rPr>
        <w:rFonts w:eastAsia="Arial" w:cs="Arial"/>
      </w:rPr>
      <w:t xml:space="preserve"> </w:t>
    </w:r>
    <w:r w:rsidR="00AE1FA6" w:rsidRPr="00AE1FA6">
      <w:rPr>
        <w:rFonts w:eastAsia="Arial" w:cs="Arial"/>
      </w:rPr>
      <w:t xml:space="preserve">– Special Franchise Properties and </w:t>
    </w:r>
  </w:p>
  <w:p w14:paraId="6C573CF1" w14:textId="02C3458B" w:rsidR="00897F46" w:rsidRPr="003A2E82" w:rsidRDefault="00AE1FA6" w:rsidP="00897F46">
    <w:pPr>
      <w:widowControl w:val="0"/>
      <w:pBdr>
        <w:bottom w:val="single" w:sz="4" w:space="1" w:color="auto"/>
      </w:pBdr>
      <w:tabs>
        <w:tab w:val="left" w:pos="630"/>
        <w:tab w:val="left" w:pos="4680"/>
        <w:tab w:val="left" w:pos="8820"/>
      </w:tabs>
      <w:autoSpaceDE w:val="0"/>
      <w:autoSpaceDN w:val="0"/>
      <w:ind w:left="450" w:right="720"/>
      <w:jc w:val="center"/>
      <w:rPr>
        <w:rFonts w:eastAsia="Arial" w:cs="Arial"/>
        <w:sz w:val="12"/>
        <w:szCs w:val="12"/>
      </w:rPr>
    </w:pPr>
    <w:r w:rsidRPr="00AE1FA6">
      <w:rPr>
        <w:rFonts w:eastAsia="Arial" w:cs="Arial"/>
      </w:rPr>
      <w:t>Telecommunications Assessment Ceiling Properties</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24C35849" w14:textId="77777777" w:rsidR="00897F46" w:rsidRDefault="00897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E8C"/>
    <w:multiLevelType w:val="multilevel"/>
    <w:tmpl w:val="78F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0216E"/>
    <w:multiLevelType w:val="multilevel"/>
    <w:tmpl w:val="3D904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913A1"/>
    <w:multiLevelType w:val="multilevel"/>
    <w:tmpl w:val="8DD6EFD6"/>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b/>
        <w:bCs/>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3" w15:restartNumberingAfterBreak="0">
    <w:nsid w:val="16767166"/>
    <w:multiLevelType w:val="hybridMultilevel"/>
    <w:tmpl w:val="D0AE426C"/>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444646"/>
    <w:multiLevelType w:val="multilevel"/>
    <w:tmpl w:val="28581BCA"/>
    <w:lvl w:ilvl="0">
      <w:start w:val="7"/>
      <w:numFmt w:val="decimal"/>
      <w:lvlText w:val="%1."/>
      <w:lvlJc w:val="left"/>
      <w:pPr>
        <w:ind w:left="360" w:hanging="360"/>
      </w:pPr>
      <w:rPr>
        <w:rFonts w:hint="default"/>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5354FA"/>
    <w:multiLevelType w:val="hybridMultilevel"/>
    <w:tmpl w:val="89A4CE78"/>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12E0FE1"/>
    <w:multiLevelType w:val="hybridMultilevel"/>
    <w:tmpl w:val="A0B0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F68DB"/>
    <w:multiLevelType w:val="multilevel"/>
    <w:tmpl w:val="A1CA5D9E"/>
    <w:lvl w:ilvl="0">
      <w:start w:val="1"/>
      <w:numFmt w:val="lowerLetter"/>
      <w:lvlText w:val="%1."/>
      <w:lvlJc w:val="left"/>
      <w:pPr>
        <w:tabs>
          <w:tab w:val="num" w:pos="720"/>
        </w:tabs>
        <w:ind w:left="720" w:hanging="360"/>
      </w:pPr>
      <w:rPr>
        <w:rFonts w:ascii="Arial" w:eastAsia="Calibri" w:hAnsi="Arial" w:cs="Arial"/>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E31092"/>
    <w:multiLevelType w:val="multilevel"/>
    <w:tmpl w:val="F08A63AC"/>
    <w:lvl w:ilvl="0">
      <w:start w:val="8"/>
      <w:numFmt w:val="decimal"/>
      <w:lvlText w:val="%1."/>
      <w:lvlJc w:val="left"/>
      <w:pPr>
        <w:ind w:left="456" w:hanging="456"/>
      </w:pPr>
      <w:rPr>
        <w:rFonts w:hint="default"/>
        <w:b/>
        <w:i w:val="0"/>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10" w15:restartNumberingAfterBreak="0">
    <w:nsid w:val="2F7601C0"/>
    <w:multiLevelType w:val="hybridMultilevel"/>
    <w:tmpl w:val="D35A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8F55CE"/>
    <w:multiLevelType w:val="hybridMultilevel"/>
    <w:tmpl w:val="056E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42466"/>
    <w:multiLevelType w:val="hybridMultilevel"/>
    <w:tmpl w:val="22A221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BD15F2"/>
    <w:multiLevelType w:val="hybridMultilevel"/>
    <w:tmpl w:val="8678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82425"/>
    <w:multiLevelType w:val="hybridMultilevel"/>
    <w:tmpl w:val="5EAA26A6"/>
    <w:lvl w:ilvl="0" w:tplc="F88CD0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A7750"/>
    <w:multiLevelType w:val="multilevel"/>
    <w:tmpl w:val="BE1846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A96307C"/>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676317C"/>
    <w:multiLevelType w:val="hybridMultilevel"/>
    <w:tmpl w:val="F48C5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9105A"/>
    <w:multiLevelType w:val="hybridMultilevel"/>
    <w:tmpl w:val="EC6465DA"/>
    <w:lvl w:ilvl="0" w:tplc="EE84E11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B4520B"/>
    <w:multiLevelType w:val="hybridMultilevel"/>
    <w:tmpl w:val="851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65B93"/>
    <w:multiLevelType w:val="hybridMultilevel"/>
    <w:tmpl w:val="A040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857124"/>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1D458E"/>
    <w:multiLevelType w:val="hybridMultilevel"/>
    <w:tmpl w:val="B5669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580D5B"/>
    <w:multiLevelType w:val="hybridMultilevel"/>
    <w:tmpl w:val="17E4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128D8"/>
    <w:multiLevelType w:val="multilevel"/>
    <w:tmpl w:val="89E810F8"/>
    <w:lvl w:ilvl="0">
      <w:start w:val="9"/>
      <w:numFmt w:val="decimal"/>
      <w:lvlText w:val="%1."/>
      <w:lvlJc w:val="left"/>
      <w:pPr>
        <w:ind w:left="456" w:hanging="456"/>
      </w:pPr>
      <w:rPr>
        <w:rFonts w:hint="default"/>
        <w:b/>
        <w:i w:val="0"/>
      </w:rPr>
    </w:lvl>
    <w:lvl w:ilvl="1">
      <w:start w:val="2"/>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b/>
        <w:i w:val="0"/>
      </w:rPr>
    </w:lvl>
    <w:lvl w:ilvl="4">
      <w:start w:val="1"/>
      <w:numFmt w:val="decimal"/>
      <w:lvlText w:val="%1.%2.%3.%4.%5."/>
      <w:lvlJc w:val="left"/>
      <w:pPr>
        <w:ind w:left="2880" w:hanging="1440"/>
      </w:pPr>
      <w:rPr>
        <w:rFonts w:hint="default"/>
        <w:b/>
        <w:i w:val="0"/>
      </w:rPr>
    </w:lvl>
    <w:lvl w:ilvl="5">
      <w:start w:val="1"/>
      <w:numFmt w:val="decimal"/>
      <w:lvlText w:val="%1.%2.%3.%4.%5.%6."/>
      <w:lvlJc w:val="left"/>
      <w:pPr>
        <w:ind w:left="3240" w:hanging="1440"/>
      </w:pPr>
      <w:rPr>
        <w:rFonts w:hint="default"/>
        <w:b/>
        <w:i w:val="0"/>
      </w:rPr>
    </w:lvl>
    <w:lvl w:ilvl="6">
      <w:start w:val="1"/>
      <w:numFmt w:val="decimal"/>
      <w:lvlText w:val="%1.%2.%3.%4.%5.%6.%7."/>
      <w:lvlJc w:val="left"/>
      <w:pPr>
        <w:ind w:left="3960" w:hanging="1800"/>
      </w:pPr>
      <w:rPr>
        <w:rFonts w:hint="default"/>
        <w:b/>
        <w:i w:val="0"/>
      </w:rPr>
    </w:lvl>
    <w:lvl w:ilvl="7">
      <w:start w:val="1"/>
      <w:numFmt w:val="decimal"/>
      <w:lvlText w:val="%1.%2.%3.%4.%5.%6.%7.%8."/>
      <w:lvlJc w:val="left"/>
      <w:pPr>
        <w:ind w:left="4680" w:hanging="2160"/>
      </w:pPr>
      <w:rPr>
        <w:rFonts w:hint="default"/>
        <w:b/>
        <w:i w:val="0"/>
      </w:rPr>
    </w:lvl>
    <w:lvl w:ilvl="8">
      <w:start w:val="1"/>
      <w:numFmt w:val="decimal"/>
      <w:lvlText w:val="%1.%2.%3.%4.%5.%6.%7.%8.%9."/>
      <w:lvlJc w:val="left"/>
      <w:pPr>
        <w:ind w:left="5040" w:hanging="2160"/>
      </w:pPr>
      <w:rPr>
        <w:rFonts w:hint="default"/>
        <w:b/>
        <w:i w:val="0"/>
      </w:rPr>
    </w:lvl>
  </w:abstractNum>
  <w:abstractNum w:abstractNumId="27" w15:restartNumberingAfterBreak="0">
    <w:nsid w:val="738D32E7"/>
    <w:multiLevelType w:val="hybridMultilevel"/>
    <w:tmpl w:val="FC4E0860"/>
    <w:lvl w:ilvl="0" w:tplc="EF80B1C2">
      <w:start w:val="1"/>
      <w:numFmt w:val="bullet"/>
      <w:lvlText w:val="–"/>
      <w:lvlJc w:val="left"/>
      <w:pPr>
        <w:ind w:left="1200" w:hanging="360"/>
      </w:pPr>
      <w:rPr>
        <w:rFonts w:ascii="Arial" w:hAnsi="Arial" w:hint="default"/>
        <w:strike w:val="0"/>
      </w:rPr>
    </w:lvl>
    <w:lvl w:ilvl="1" w:tplc="04090003" w:tentative="1">
      <w:start w:val="1"/>
      <w:numFmt w:val="lowerLetter"/>
      <w:lvlText w:val="%2."/>
      <w:lvlJc w:val="left"/>
      <w:pPr>
        <w:ind w:left="1920" w:hanging="360"/>
      </w:pPr>
    </w:lvl>
    <w:lvl w:ilvl="2" w:tplc="04090005" w:tentative="1">
      <w:start w:val="1"/>
      <w:numFmt w:val="lowerRoman"/>
      <w:lvlText w:val="%3."/>
      <w:lvlJc w:val="right"/>
      <w:pPr>
        <w:ind w:left="2640" w:hanging="180"/>
      </w:pPr>
    </w:lvl>
    <w:lvl w:ilvl="3" w:tplc="04090001" w:tentative="1">
      <w:start w:val="1"/>
      <w:numFmt w:val="decimal"/>
      <w:lvlText w:val="%4."/>
      <w:lvlJc w:val="left"/>
      <w:pPr>
        <w:ind w:left="3360" w:hanging="360"/>
      </w:pPr>
    </w:lvl>
    <w:lvl w:ilvl="4" w:tplc="04090003" w:tentative="1">
      <w:start w:val="1"/>
      <w:numFmt w:val="lowerLetter"/>
      <w:lvlText w:val="%5."/>
      <w:lvlJc w:val="left"/>
      <w:pPr>
        <w:ind w:left="4080" w:hanging="360"/>
      </w:pPr>
    </w:lvl>
    <w:lvl w:ilvl="5" w:tplc="04090005" w:tentative="1">
      <w:start w:val="1"/>
      <w:numFmt w:val="lowerRoman"/>
      <w:lvlText w:val="%6."/>
      <w:lvlJc w:val="right"/>
      <w:pPr>
        <w:ind w:left="4800" w:hanging="180"/>
      </w:pPr>
    </w:lvl>
    <w:lvl w:ilvl="6" w:tplc="04090001" w:tentative="1">
      <w:start w:val="1"/>
      <w:numFmt w:val="decimal"/>
      <w:lvlText w:val="%7."/>
      <w:lvlJc w:val="left"/>
      <w:pPr>
        <w:ind w:left="5520" w:hanging="360"/>
      </w:pPr>
    </w:lvl>
    <w:lvl w:ilvl="7" w:tplc="04090003" w:tentative="1">
      <w:start w:val="1"/>
      <w:numFmt w:val="lowerLetter"/>
      <w:lvlText w:val="%8."/>
      <w:lvlJc w:val="left"/>
      <w:pPr>
        <w:ind w:left="6240" w:hanging="360"/>
      </w:pPr>
    </w:lvl>
    <w:lvl w:ilvl="8" w:tplc="04090005" w:tentative="1">
      <w:start w:val="1"/>
      <w:numFmt w:val="lowerRoman"/>
      <w:lvlText w:val="%9."/>
      <w:lvlJc w:val="right"/>
      <w:pPr>
        <w:ind w:left="6960" w:hanging="180"/>
      </w:pPr>
    </w:lvl>
  </w:abstractNum>
  <w:abstractNum w:abstractNumId="28" w15:restartNumberingAfterBreak="0">
    <w:nsid w:val="7D6E432E"/>
    <w:multiLevelType w:val="multilevel"/>
    <w:tmpl w:val="0CD22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2550122">
    <w:abstractNumId w:val="13"/>
  </w:num>
  <w:num w:numId="2" w16cid:durableId="960958338">
    <w:abstractNumId w:val="3"/>
  </w:num>
  <w:num w:numId="3" w16cid:durableId="580606157">
    <w:abstractNumId w:val="27"/>
  </w:num>
  <w:num w:numId="4" w16cid:durableId="605500820">
    <w:abstractNumId w:val="20"/>
  </w:num>
  <w:num w:numId="5" w16cid:durableId="2078360339">
    <w:abstractNumId w:val="16"/>
  </w:num>
  <w:num w:numId="6" w16cid:durableId="2031056856">
    <w:abstractNumId w:val="26"/>
  </w:num>
  <w:num w:numId="7" w16cid:durableId="1000547950">
    <w:abstractNumId w:val="9"/>
  </w:num>
  <w:num w:numId="8" w16cid:durableId="101146076">
    <w:abstractNumId w:val="2"/>
  </w:num>
  <w:num w:numId="9" w16cid:durableId="757409023">
    <w:abstractNumId w:val="22"/>
  </w:num>
  <w:num w:numId="10" w16cid:durableId="1426152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93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68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001512">
    <w:abstractNumId w:val="6"/>
  </w:num>
  <w:num w:numId="14" w16cid:durableId="16179056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35690">
    <w:abstractNumId w:val="0"/>
  </w:num>
  <w:num w:numId="16" w16cid:durableId="57896806">
    <w:abstractNumId w:val="1"/>
  </w:num>
  <w:num w:numId="17" w16cid:durableId="434641360">
    <w:abstractNumId w:val="18"/>
  </w:num>
  <w:num w:numId="18" w16cid:durableId="567572599">
    <w:abstractNumId w:val="15"/>
  </w:num>
  <w:num w:numId="19" w16cid:durableId="1486237912">
    <w:abstractNumId w:val="25"/>
  </w:num>
  <w:num w:numId="20" w16cid:durableId="1676103275">
    <w:abstractNumId w:val="21"/>
  </w:num>
  <w:num w:numId="21" w16cid:durableId="570191921">
    <w:abstractNumId w:val="10"/>
  </w:num>
  <w:num w:numId="22" w16cid:durableId="518853922">
    <w:abstractNumId w:val="14"/>
  </w:num>
  <w:num w:numId="23" w16cid:durableId="1910844360">
    <w:abstractNumId w:val="12"/>
  </w:num>
  <w:num w:numId="24" w16cid:durableId="1149901969">
    <w:abstractNumId w:val="28"/>
  </w:num>
  <w:num w:numId="25" w16cid:durableId="1603877368">
    <w:abstractNumId w:val="19"/>
  </w:num>
  <w:num w:numId="26" w16cid:durableId="1955822996">
    <w:abstractNumId w:val="7"/>
  </w:num>
  <w:num w:numId="27" w16cid:durableId="1581669102">
    <w:abstractNumId w:val="5"/>
  </w:num>
  <w:num w:numId="28" w16cid:durableId="681591485">
    <w:abstractNumId w:val="11"/>
  </w:num>
  <w:num w:numId="29" w16cid:durableId="213170004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1"/>
    <w:rsid w:val="00013E13"/>
    <w:rsid w:val="00021BD9"/>
    <w:rsid w:val="00037649"/>
    <w:rsid w:val="0004086E"/>
    <w:rsid w:val="00050FE0"/>
    <w:rsid w:val="00065611"/>
    <w:rsid w:val="00071864"/>
    <w:rsid w:val="00075236"/>
    <w:rsid w:val="00075D2E"/>
    <w:rsid w:val="00087E0A"/>
    <w:rsid w:val="0009002E"/>
    <w:rsid w:val="000907B0"/>
    <w:rsid w:val="00093C4F"/>
    <w:rsid w:val="000A0482"/>
    <w:rsid w:val="000C3826"/>
    <w:rsid w:val="000C51F6"/>
    <w:rsid w:val="000D472E"/>
    <w:rsid w:val="000D4C0D"/>
    <w:rsid w:val="000D6FE1"/>
    <w:rsid w:val="001103DB"/>
    <w:rsid w:val="00120859"/>
    <w:rsid w:val="00120E80"/>
    <w:rsid w:val="001216D5"/>
    <w:rsid w:val="00122907"/>
    <w:rsid w:val="00126149"/>
    <w:rsid w:val="00126C95"/>
    <w:rsid w:val="001478F6"/>
    <w:rsid w:val="00153D7B"/>
    <w:rsid w:val="00163171"/>
    <w:rsid w:val="00163E5A"/>
    <w:rsid w:val="00167A3E"/>
    <w:rsid w:val="0017262D"/>
    <w:rsid w:val="001751E4"/>
    <w:rsid w:val="001816AB"/>
    <w:rsid w:val="00183FEC"/>
    <w:rsid w:val="0018461A"/>
    <w:rsid w:val="0019297E"/>
    <w:rsid w:val="00192E4A"/>
    <w:rsid w:val="001A10A3"/>
    <w:rsid w:val="001A320B"/>
    <w:rsid w:val="001A57FD"/>
    <w:rsid w:val="001B2EB4"/>
    <w:rsid w:val="001C65F4"/>
    <w:rsid w:val="001D203C"/>
    <w:rsid w:val="001E77B4"/>
    <w:rsid w:val="001E792E"/>
    <w:rsid w:val="001F40A0"/>
    <w:rsid w:val="00200061"/>
    <w:rsid w:val="002061FE"/>
    <w:rsid w:val="00214F45"/>
    <w:rsid w:val="0022482E"/>
    <w:rsid w:val="002254E0"/>
    <w:rsid w:val="00230C6F"/>
    <w:rsid w:val="00232B9F"/>
    <w:rsid w:val="00232DF5"/>
    <w:rsid w:val="002338BA"/>
    <w:rsid w:val="002558EC"/>
    <w:rsid w:val="0026014E"/>
    <w:rsid w:val="00263C94"/>
    <w:rsid w:val="00267225"/>
    <w:rsid w:val="00277A06"/>
    <w:rsid w:val="002839B2"/>
    <w:rsid w:val="00285B72"/>
    <w:rsid w:val="00285CD0"/>
    <w:rsid w:val="0029250B"/>
    <w:rsid w:val="00295EBD"/>
    <w:rsid w:val="002A428C"/>
    <w:rsid w:val="002A440A"/>
    <w:rsid w:val="002A5C33"/>
    <w:rsid w:val="002A6D34"/>
    <w:rsid w:val="002A7A23"/>
    <w:rsid w:val="002C2AA6"/>
    <w:rsid w:val="002D290A"/>
    <w:rsid w:val="002D3678"/>
    <w:rsid w:val="002E1FC5"/>
    <w:rsid w:val="002E53A5"/>
    <w:rsid w:val="002E5613"/>
    <w:rsid w:val="002F00D4"/>
    <w:rsid w:val="002F1F83"/>
    <w:rsid w:val="002F2151"/>
    <w:rsid w:val="003030B7"/>
    <w:rsid w:val="003129E2"/>
    <w:rsid w:val="00332067"/>
    <w:rsid w:val="003339DF"/>
    <w:rsid w:val="0034171C"/>
    <w:rsid w:val="00344696"/>
    <w:rsid w:val="00346819"/>
    <w:rsid w:val="0035477B"/>
    <w:rsid w:val="00372848"/>
    <w:rsid w:val="003808FA"/>
    <w:rsid w:val="00380C0A"/>
    <w:rsid w:val="00382AD9"/>
    <w:rsid w:val="003932CF"/>
    <w:rsid w:val="003A3122"/>
    <w:rsid w:val="003B787E"/>
    <w:rsid w:val="003E4E86"/>
    <w:rsid w:val="003F2A24"/>
    <w:rsid w:val="003F7668"/>
    <w:rsid w:val="00412CAD"/>
    <w:rsid w:val="004157AD"/>
    <w:rsid w:val="00420FAC"/>
    <w:rsid w:val="00434764"/>
    <w:rsid w:val="00442A38"/>
    <w:rsid w:val="00450372"/>
    <w:rsid w:val="00457B9D"/>
    <w:rsid w:val="0046704C"/>
    <w:rsid w:val="004700E6"/>
    <w:rsid w:val="0048070E"/>
    <w:rsid w:val="004A3E98"/>
    <w:rsid w:val="004A5632"/>
    <w:rsid w:val="004A6583"/>
    <w:rsid w:val="004D4E09"/>
    <w:rsid w:val="004D6472"/>
    <w:rsid w:val="004E445F"/>
    <w:rsid w:val="004E6674"/>
    <w:rsid w:val="004F128E"/>
    <w:rsid w:val="004F63AB"/>
    <w:rsid w:val="0052196B"/>
    <w:rsid w:val="00523B9B"/>
    <w:rsid w:val="00527933"/>
    <w:rsid w:val="0053237A"/>
    <w:rsid w:val="00541AF9"/>
    <w:rsid w:val="00546285"/>
    <w:rsid w:val="00550E72"/>
    <w:rsid w:val="00552AEC"/>
    <w:rsid w:val="0056750A"/>
    <w:rsid w:val="005810E8"/>
    <w:rsid w:val="005862EC"/>
    <w:rsid w:val="005900D7"/>
    <w:rsid w:val="005909AB"/>
    <w:rsid w:val="00594D6D"/>
    <w:rsid w:val="005A0BB8"/>
    <w:rsid w:val="005A15DD"/>
    <w:rsid w:val="005B3E20"/>
    <w:rsid w:val="005D1E12"/>
    <w:rsid w:val="005D28D4"/>
    <w:rsid w:val="005E02FD"/>
    <w:rsid w:val="005E20EC"/>
    <w:rsid w:val="005F7EB4"/>
    <w:rsid w:val="006048D5"/>
    <w:rsid w:val="00617CB5"/>
    <w:rsid w:val="00617DDE"/>
    <w:rsid w:val="006270AA"/>
    <w:rsid w:val="0063026A"/>
    <w:rsid w:val="006327AC"/>
    <w:rsid w:val="00632EDB"/>
    <w:rsid w:val="00643312"/>
    <w:rsid w:val="006502F1"/>
    <w:rsid w:val="0065436A"/>
    <w:rsid w:val="006550BA"/>
    <w:rsid w:val="00656111"/>
    <w:rsid w:val="00660306"/>
    <w:rsid w:val="006713BA"/>
    <w:rsid w:val="00694DC2"/>
    <w:rsid w:val="006A4734"/>
    <w:rsid w:val="006B759D"/>
    <w:rsid w:val="006C1ACC"/>
    <w:rsid w:val="006C43C7"/>
    <w:rsid w:val="006C790D"/>
    <w:rsid w:val="006D3202"/>
    <w:rsid w:val="006E2685"/>
    <w:rsid w:val="00736073"/>
    <w:rsid w:val="007412FB"/>
    <w:rsid w:val="00741450"/>
    <w:rsid w:val="00745739"/>
    <w:rsid w:val="00751565"/>
    <w:rsid w:val="00765553"/>
    <w:rsid w:val="0076746E"/>
    <w:rsid w:val="007704B7"/>
    <w:rsid w:val="00770C49"/>
    <w:rsid w:val="0077268F"/>
    <w:rsid w:val="00773282"/>
    <w:rsid w:val="007751EA"/>
    <w:rsid w:val="0077569B"/>
    <w:rsid w:val="00782846"/>
    <w:rsid w:val="00793017"/>
    <w:rsid w:val="007A445E"/>
    <w:rsid w:val="007A660D"/>
    <w:rsid w:val="007B060D"/>
    <w:rsid w:val="007B4D00"/>
    <w:rsid w:val="007B5663"/>
    <w:rsid w:val="007C2BF9"/>
    <w:rsid w:val="007C3752"/>
    <w:rsid w:val="007C5D55"/>
    <w:rsid w:val="007E0A42"/>
    <w:rsid w:val="007E1C4E"/>
    <w:rsid w:val="007E41DC"/>
    <w:rsid w:val="007E5E13"/>
    <w:rsid w:val="007F3C50"/>
    <w:rsid w:val="007F47AE"/>
    <w:rsid w:val="007F6555"/>
    <w:rsid w:val="00806257"/>
    <w:rsid w:val="008151B9"/>
    <w:rsid w:val="00815750"/>
    <w:rsid w:val="00834390"/>
    <w:rsid w:val="008411E6"/>
    <w:rsid w:val="008420E4"/>
    <w:rsid w:val="0084416B"/>
    <w:rsid w:val="00846EFE"/>
    <w:rsid w:val="00847456"/>
    <w:rsid w:val="00855663"/>
    <w:rsid w:val="008624CA"/>
    <w:rsid w:val="00867FD2"/>
    <w:rsid w:val="008711CC"/>
    <w:rsid w:val="0088134C"/>
    <w:rsid w:val="008926CE"/>
    <w:rsid w:val="00895D38"/>
    <w:rsid w:val="00897F46"/>
    <w:rsid w:val="008A04EA"/>
    <w:rsid w:val="008A26F4"/>
    <w:rsid w:val="008B0D31"/>
    <w:rsid w:val="008B1427"/>
    <w:rsid w:val="008B30A5"/>
    <w:rsid w:val="008E0EA7"/>
    <w:rsid w:val="008E2554"/>
    <w:rsid w:val="008E7C58"/>
    <w:rsid w:val="008F6CBE"/>
    <w:rsid w:val="008F729F"/>
    <w:rsid w:val="009041B3"/>
    <w:rsid w:val="00907151"/>
    <w:rsid w:val="009146F2"/>
    <w:rsid w:val="0091763D"/>
    <w:rsid w:val="009301F2"/>
    <w:rsid w:val="00941155"/>
    <w:rsid w:val="00946AD8"/>
    <w:rsid w:val="009479F4"/>
    <w:rsid w:val="00955338"/>
    <w:rsid w:val="009567A7"/>
    <w:rsid w:val="00956CA7"/>
    <w:rsid w:val="00963FF6"/>
    <w:rsid w:val="00967FD6"/>
    <w:rsid w:val="0098143A"/>
    <w:rsid w:val="00990419"/>
    <w:rsid w:val="00994FE5"/>
    <w:rsid w:val="00997685"/>
    <w:rsid w:val="00997BB9"/>
    <w:rsid w:val="009A42C6"/>
    <w:rsid w:val="009B052B"/>
    <w:rsid w:val="009C0F2A"/>
    <w:rsid w:val="009C4E6D"/>
    <w:rsid w:val="00A01791"/>
    <w:rsid w:val="00A1169C"/>
    <w:rsid w:val="00A173D6"/>
    <w:rsid w:val="00A239F3"/>
    <w:rsid w:val="00A26A7B"/>
    <w:rsid w:val="00A27F16"/>
    <w:rsid w:val="00A3052D"/>
    <w:rsid w:val="00A42C61"/>
    <w:rsid w:val="00A5078C"/>
    <w:rsid w:val="00A53709"/>
    <w:rsid w:val="00A539BB"/>
    <w:rsid w:val="00A55381"/>
    <w:rsid w:val="00A66E11"/>
    <w:rsid w:val="00A702AE"/>
    <w:rsid w:val="00A86C06"/>
    <w:rsid w:val="00A87C6F"/>
    <w:rsid w:val="00AA0ED6"/>
    <w:rsid w:val="00AA350D"/>
    <w:rsid w:val="00AA4857"/>
    <w:rsid w:val="00AA756E"/>
    <w:rsid w:val="00AB07D9"/>
    <w:rsid w:val="00AB38BF"/>
    <w:rsid w:val="00AB41C4"/>
    <w:rsid w:val="00AB450E"/>
    <w:rsid w:val="00AB70D9"/>
    <w:rsid w:val="00AD0AEE"/>
    <w:rsid w:val="00AE1C49"/>
    <w:rsid w:val="00AE1FA6"/>
    <w:rsid w:val="00AF3BC9"/>
    <w:rsid w:val="00B01A2B"/>
    <w:rsid w:val="00B02368"/>
    <w:rsid w:val="00B024D8"/>
    <w:rsid w:val="00B02B0D"/>
    <w:rsid w:val="00B07FE7"/>
    <w:rsid w:val="00B101FB"/>
    <w:rsid w:val="00B202E9"/>
    <w:rsid w:val="00B30439"/>
    <w:rsid w:val="00B33661"/>
    <w:rsid w:val="00B356A5"/>
    <w:rsid w:val="00B37105"/>
    <w:rsid w:val="00B537A7"/>
    <w:rsid w:val="00B72A51"/>
    <w:rsid w:val="00B735A6"/>
    <w:rsid w:val="00B935B4"/>
    <w:rsid w:val="00B952CD"/>
    <w:rsid w:val="00BA311D"/>
    <w:rsid w:val="00BA62B3"/>
    <w:rsid w:val="00BB1150"/>
    <w:rsid w:val="00BB39C9"/>
    <w:rsid w:val="00BB3F79"/>
    <w:rsid w:val="00BB5887"/>
    <w:rsid w:val="00BC141F"/>
    <w:rsid w:val="00BC1DAD"/>
    <w:rsid w:val="00BC7AB7"/>
    <w:rsid w:val="00BD2C79"/>
    <w:rsid w:val="00BF26AD"/>
    <w:rsid w:val="00BF341E"/>
    <w:rsid w:val="00BF4089"/>
    <w:rsid w:val="00BF6ED8"/>
    <w:rsid w:val="00C104AE"/>
    <w:rsid w:val="00C2381F"/>
    <w:rsid w:val="00C26890"/>
    <w:rsid w:val="00C418A7"/>
    <w:rsid w:val="00C53187"/>
    <w:rsid w:val="00C538B4"/>
    <w:rsid w:val="00C54B58"/>
    <w:rsid w:val="00C715E2"/>
    <w:rsid w:val="00C71F43"/>
    <w:rsid w:val="00C732B2"/>
    <w:rsid w:val="00C82D00"/>
    <w:rsid w:val="00C87DF3"/>
    <w:rsid w:val="00CD1702"/>
    <w:rsid w:val="00CD375C"/>
    <w:rsid w:val="00CD3916"/>
    <w:rsid w:val="00CE43B8"/>
    <w:rsid w:val="00CF7D0F"/>
    <w:rsid w:val="00D05C45"/>
    <w:rsid w:val="00D11EB1"/>
    <w:rsid w:val="00D240D9"/>
    <w:rsid w:val="00D26A68"/>
    <w:rsid w:val="00D30A17"/>
    <w:rsid w:val="00D36B26"/>
    <w:rsid w:val="00D43710"/>
    <w:rsid w:val="00D504D5"/>
    <w:rsid w:val="00D538CF"/>
    <w:rsid w:val="00D619E3"/>
    <w:rsid w:val="00D81AB6"/>
    <w:rsid w:val="00D851A9"/>
    <w:rsid w:val="00D9070A"/>
    <w:rsid w:val="00D90B6F"/>
    <w:rsid w:val="00D91422"/>
    <w:rsid w:val="00DA2132"/>
    <w:rsid w:val="00DA5A04"/>
    <w:rsid w:val="00DC06B6"/>
    <w:rsid w:val="00DC0C4A"/>
    <w:rsid w:val="00DC1950"/>
    <w:rsid w:val="00DC24A8"/>
    <w:rsid w:val="00DC2FA6"/>
    <w:rsid w:val="00DC4313"/>
    <w:rsid w:val="00DC68F7"/>
    <w:rsid w:val="00DD1A7A"/>
    <w:rsid w:val="00DD4FB4"/>
    <w:rsid w:val="00DD5340"/>
    <w:rsid w:val="00DD591A"/>
    <w:rsid w:val="00DE3D85"/>
    <w:rsid w:val="00E00934"/>
    <w:rsid w:val="00E02B12"/>
    <w:rsid w:val="00E03FB9"/>
    <w:rsid w:val="00E040F3"/>
    <w:rsid w:val="00E07450"/>
    <w:rsid w:val="00E24A82"/>
    <w:rsid w:val="00E269FA"/>
    <w:rsid w:val="00E31EC7"/>
    <w:rsid w:val="00E51C43"/>
    <w:rsid w:val="00E5282D"/>
    <w:rsid w:val="00E56ED7"/>
    <w:rsid w:val="00E62F25"/>
    <w:rsid w:val="00E73869"/>
    <w:rsid w:val="00E76021"/>
    <w:rsid w:val="00E7725A"/>
    <w:rsid w:val="00E7733E"/>
    <w:rsid w:val="00E83B20"/>
    <w:rsid w:val="00E909CC"/>
    <w:rsid w:val="00E92D1F"/>
    <w:rsid w:val="00E9461D"/>
    <w:rsid w:val="00E9626D"/>
    <w:rsid w:val="00EA30D0"/>
    <w:rsid w:val="00EB2373"/>
    <w:rsid w:val="00EB2734"/>
    <w:rsid w:val="00EB6912"/>
    <w:rsid w:val="00ED053E"/>
    <w:rsid w:val="00EE1932"/>
    <w:rsid w:val="00EE23F1"/>
    <w:rsid w:val="00F04B42"/>
    <w:rsid w:val="00F2091B"/>
    <w:rsid w:val="00F2571C"/>
    <w:rsid w:val="00F26534"/>
    <w:rsid w:val="00F6492D"/>
    <w:rsid w:val="00F65B1D"/>
    <w:rsid w:val="00F707DF"/>
    <w:rsid w:val="00F73801"/>
    <w:rsid w:val="00F8350F"/>
    <w:rsid w:val="00F8499B"/>
    <w:rsid w:val="00F876FA"/>
    <w:rsid w:val="00F96A8F"/>
    <w:rsid w:val="00F96D41"/>
    <w:rsid w:val="00FA5FE5"/>
    <w:rsid w:val="00FB6F1D"/>
    <w:rsid w:val="00FD7715"/>
    <w:rsid w:val="00FF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5E5D"/>
  <w15:chartTrackingRefBased/>
  <w15:docId w15:val="{983BD009-98FF-4F68-8300-698A7B6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31"/>
    <w:pPr>
      <w:spacing w:after="0" w:line="240" w:lineRule="auto"/>
    </w:pPr>
    <w:rPr>
      <w:rFonts w:ascii="Arial" w:eastAsia="Times New Roman" w:hAnsi="Arial" w:cs="Times New Roman"/>
      <w:sz w:val="24"/>
      <w:szCs w:val="24"/>
    </w:rPr>
  </w:style>
  <w:style w:type="paragraph" w:styleId="Heading1">
    <w:name w:val="heading 1"/>
    <w:aliases w:val="h1,new page/chapter,Heading 1 (NN),subhead 1,H1,1 ghost,g,Part"/>
    <w:basedOn w:val="Normal"/>
    <w:next w:val="Normal"/>
    <w:link w:val="Heading1Char"/>
    <w:uiPriority w:val="1"/>
    <w:qFormat/>
    <w:rsid w:val="008B0D31"/>
    <w:pPr>
      <w:keepNext/>
      <w:spacing w:before="240" w:after="60" w:line="276" w:lineRule="auto"/>
      <w:outlineLvl w:val="0"/>
    </w:pPr>
    <w:rPr>
      <w:rFonts w:ascii="Cambria"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5909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Alt Header"/>
    <w:basedOn w:val="Normal"/>
    <w:link w:val="HeaderChar"/>
    <w:unhideWhenUsed/>
    <w:rsid w:val="008B0D31"/>
    <w:pPr>
      <w:tabs>
        <w:tab w:val="center" w:pos="4680"/>
        <w:tab w:val="right" w:pos="9360"/>
      </w:tabs>
    </w:pPr>
  </w:style>
  <w:style w:type="character" w:customStyle="1" w:styleId="HeaderChar">
    <w:name w:val="Header Char"/>
    <w:aliases w:val="Alt Header Char"/>
    <w:basedOn w:val="DefaultParagraphFont"/>
    <w:link w:val="Header"/>
    <w:rsid w:val="008B0D31"/>
    <w:rPr>
      <w:rFonts w:ascii="Arial" w:eastAsia="Times New Roman" w:hAnsi="Arial" w:cs="Times New Roman"/>
      <w:sz w:val="24"/>
      <w:szCs w:val="24"/>
    </w:rPr>
  </w:style>
  <w:style w:type="paragraph" w:styleId="Footer">
    <w:name w:val="footer"/>
    <w:basedOn w:val="Normal"/>
    <w:link w:val="FooterChar"/>
    <w:uiPriority w:val="99"/>
    <w:unhideWhenUsed/>
    <w:rsid w:val="008B0D31"/>
    <w:pPr>
      <w:tabs>
        <w:tab w:val="center" w:pos="4680"/>
        <w:tab w:val="right" w:pos="9360"/>
      </w:tabs>
    </w:pPr>
  </w:style>
  <w:style w:type="character" w:customStyle="1" w:styleId="FooterChar">
    <w:name w:val="Footer Char"/>
    <w:basedOn w:val="DefaultParagraphFont"/>
    <w:link w:val="Footer"/>
    <w:uiPriority w:val="99"/>
    <w:rsid w:val="008B0D31"/>
    <w:rPr>
      <w:rFonts w:ascii="Arial" w:eastAsia="Times New Roman" w:hAnsi="Arial" w:cs="Times New Roman"/>
      <w:sz w:val="24"/>
      <w:szCs w:val="24"/>
    </w:rPr>
  </w:style>
  <w:style w:type="paragraph" w:styleId="ListParagraph">
    <w:name w:val="List Paragraph"/>
    <w:basedOn w:val="Normal"/>
    <w:link w:val="ListParagraphChar"/>
    <w:uiPriority w:val="1"/>
    <w:qFormat/>
    <w:rsid w:val="008B0D31"/>
    <w:pPr>
      <w:spacing w:after="200" w:line="276" w:lineRule="auto"/>
      <w:ind w:left="720"/>
    </w:pPr>
    <w:rPr>
      <w:rFonts w:ascii="Calibri" w:eastAsia="Calibri" w:hAnsi="Calibri"/>
      <w:sz w:val="22"/>
      <w:szCs w:val="22"/>
    </w:rPr>
  </w:style>
  <w:style w:type="character" w:customStyle="1" w:styleId="Heading1Char">
    <w:name w:val="Heading 1 Char"/>
    <w:aliases w:val="h1 Char,new page/chapter Char,Heading 1 (NN) Char,subhead 1 Char,H1 Char,1 ghost Char,g Char,Part Char"/>
    <w:basedOn w:val="DefaultParagraphFont"/>
    <w:link w:val="Heading1"/>
    <w:uiPriority w:val="1"/>
    <w:rsid w:val="008B0D31"/>
    <w:rPr>
      <w:rFonts w:ascii="Cambria" w:eastAsia="Times New Roman" w:hAnsi="Cambria" w:cs="Times New Roman"/>
      <w:b/>
      <w:bCs/>
      <w:kern w:val="32"/>
      <w:sz w:val="32"/>
      <w:szCs w:val="32"/>
      <w:lang w:val="x-none" w:eastAsia="x-none"/>
    </w:rPr>
  </w:style>
  <w:style w:type="paragraph" w:styleId="BalloonText">
    <w:name w:val="Balloon Text"/>
    <w:basedOn w:val="Normal"/>
    <w:link w:val="BalloonTextChar"/>
    <w:uiPriority w:val="99"/>
    <w:semiHidden/>
    <w:unhideWhenUsed/>
    <w:rsid w:val="00183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EC"/>
    <w:rPr>
      <w:rFonts w:ascii="Segoe UI" w:eastAsia="Times New Roman" w:hAnsi="Segoe UI" w:cs="Segoe UI"/>
      <w:sz w:val="18"/>
      <w:szCs w:val="18"/>
    </w:rPr>
  </w:style>
  <w:style w:type="paragraph" w:customStyle="1" w:styleId="TableParagraph">
    <w:name w:val="Table Paragraph"/>
    <w:basedOn w:val="Normal"/>
    <w:uiPriority w:val="1"/>
    <w:qFormat/>
    <w:rsid w:val="00CF7D0F"/>
    <w:pPr>
      <w:widowControl w:val="0"/>
    </w:pPr>
    <w:rPr>
      <w:rFonts w:ascii="Calibri" w:eastAsia="Calibri" w:hAnsi="Calibri"/>
      <w:sz w:val="22"/>
      <w:szCs w:val="22"/>
    </w:rPr>
  </w:style>
  <w:style w:type="table" w:customStyle="1" w:styleId="TableGrid1">
    <w:name w:val="Table Grid1"/>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F7D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41AF9"/>
    <w:rPr>
      <w:sz w:val="16"/>
      <w:szCs w:val="16"/>
    </w:rPr>
  </w:style>
  <w:style w:type="paragraph" w:styleId="CommentText">
    <w:name w:val="annotation text"/>
    <w:basedOn w:val="Normal"/>
    <w:link w:val="CommentTextChar"/>
    <w:uiPriority w:val="99"/>
    <w:unhideWhenUsed/>
    <w:rsid w:val="00541AF9"/>
    <w:rPr>
      <w:sz w:val="20"/>
      <w:szCs w:val="20"/>
    </w:rPr>
  </w:style>
  <w:style w:type="character" w:customStyle="1" w:styleId="CommentTextChar">
    <w:name w:val="Comment Text Char"/>
    <w:basedOn w:val="DefaultParagraphFont"/>
    <w:link w:val="CommentText"/>
    <w:uiPriority w:val="99"/>
    <w:rsid w:val="00541A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41AF9"/>
    <w:rPr>
      <w:b/>
      <w:bCs/>
    </w:rPr>
  </w:style>
  <w:style w:type="character" w:customStyle="1" w:styleId="CommentSubjectChar">
    <w:name w:val="Comment Subject Char"/>
    <w:basedOn w:val="CommentTextChar"/>
    <w:link w:val="CommentSubject"/>
    <w:uiPriority w:val="99"/>
    <w:semiHidden/>
    <w:rsid w:val="00541AF9"/>
    <w:rPr>
      <w:rFonts w:ascii="Arial" w:eastAsia="Times New Roman" w:hAnsi="Arial" w:cs="Times New Roman"/>
      <w:b/>
      <w:bCs/>
      <w:sz w:val="20"/>
      <w:szCs w:val="20"/>
    </w:rPr>
  </w:style>
  <w:style w:type="table" w:customStyle="1" w:styleId="TableGrid4">
    <w:name w:val="Table Grid4"/>
    <w:basedOn w:val="TableNormal"/>
    <w:next w:val="TableGrid"/>
    <w:uiPriority w:val="59"/>
    <w:rsid w:val="00B01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F4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4DC2"/>
    <w:pPr>
      <w:spacing w:after="0" w:line="240" w:lineRule="auto"/>
    </w:pPr>
    <w:rPr>
      <w:rFonts w:ascii="Arial" w:eastAsia="Times New Roman" w:hAnsi="Arial" w:cs="Times New Roman"/>
      <w:sz w:val="24"/>
      <w:szCs w:val="24"/>
    </w:rPr>
  </w:style>
  <w:style w:type="character" w:customStyle="1" w:styleId="Heading2Char">
    <w:name w:val="Heading 2 Char"/>
    <w:aliases w:val="Char Char"/>
    <w:basedOn w:val="DefaultParagraphFont"/>
    <w:link w:val="Heading2"/>
    <w:uiPriority w:val="9"/>
    <w:rsid w:val="005909AB"/>
    <w:rPr>
      <w:rFonts w:asciiTheme="majorHAnsi" w:eastAsiaTheme="majorEastAsia" w:hAnsiTheme="majorHAnsi" w:cstheme="majorBidi"/>
      <w:color w:val="365F91" w:themeColor="accent1" w:themeShade="BF"/>
      <w:sz w:val="26"/>
      <w:szCs w:val="26"/>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35477B"/>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ind w:left="2880" w:hanging="2160"/>
      <w:jc w:val="both"/>
    </w:pPr>
    <w:rPr>
      <w:rFonts w:ascii="Times New Roman" w:hAnsi="Times New Roman"/>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35477B"/>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AF3BC9"/>
    <w:rPr>
      <w:color w:val="0000FF" w:themeColor="hyperlink"/>
      <w:u w:val="single"/>
    </w:rPr>
  </w:style>
  <w:style w:type="character" w:styleId="UnresolvedMention">
    <w:name w:val="Unresolved Mention"/>
    <w:basedOn w:val="DefaultParagraphFont"/>
    <w:uiPriority w:val="99"/>
    <w:semiHidden/>
    <w:unhideWhenUsed/>
    <w:rsid w:val="00AF3BC9"/>
    <w:rPr>
      <w:color w:val="605E5C"/>
      <w:shd w:val="clear" w:color="auto" w:fill="E1DFDD"/>
    </w:rPr>
  </w:style>
  <w:style w:type="character" w:styleId="FollowedHyperlink">
    <w:name w:val="FollowedHyperlink"/>
    <w:basedOn w:val="DefaultParagraphFont"/>
    <w:uiPriority w:val="99"/>
    <w:semiHidden/>
    <w:unhideWhenUsed/>
    <w:rsid w:val="00AF3BC9"/>
    <w:rPr>
      <w:color w:val="800080" w:themeColor="followedHyperlink"/>
      <w:u w:val="single"/>
    </w:rPr>
  </w:style>
  <w:style w:type="character" w:customStyle="1" w:styleId="ListParagraphChar">
    <w:name w:val="List Paragraph Char"/>
    <w:basedOn w:val="DefaultParagraphFont"/>
    <w:link w:val="ListParagraph"/>
    <w:uiPriority w:val="1"/>
    <w:locked/>
    <w:rsid w:val="00617DDE"/>
    <w:rPr>
      <w:rFonts w:ascii="Calibri" w:eastAsia="Calibri" w:hAnsi="Calibri" w:cs="Times New Roman"/>
    </w:rPr>
  </w:style>
  <w:style w:type="paragraph" w:styleId="PlainText">
    <w:name w:val="Plain Text"/>
    <w:basedOn w:val="Normal"/>
    <w:link w:val="PlainTextChar"/>
    <w:rsid w:val="00C71F43"/>
    <w:rPr>
      <w:rFonts w:ascii="Times New Roman" w:eastAsia="MS Mincho" w:hAnsi="Times New Roman"/>
      <w:sz w:val="20"/>
      <w:szCs w:val="20"/>
    </w:rPr>
  </w:style>
  <w:style w:type="character" w:customStyle="1" w:styleId="PlainTextChar">
    <w:name w:val="Plain Text Char"/>
    <w:basedOn w:val="DefaultParagraphFont"/>
    <w:link w:val="PlainText"/>
    <w:rsid w:val="00C71F43"/>
    <w:rPr>
      <w:rFonts w:ascii="Times New Roman" w:eastAsia="MS Mincho" w:hAnsi="Times New Roman" w:cs="Times New Roman"/>
      <w:sz w:val="20"/>
      <w:szCs w:val="20"/>
    </w:rPr>
  </w:style>
  <w:style w:type="paragraph" w:customStyle="1" w:styleId="AnswerLevel2">
    <w:name w:val="Answer Level 2"/>
    <w:link w:val="AnswerLevel2CharChar"/>
    <w:rsid w:val="00C71F43"/>
    <w:pPr>
      <w:spacing w:after="0" w:line="240" w:lineRule="auto"/>
      <w:ind w:left="720"/>
    </w:pPr>
    <w:rPr>
      <w:rFonts w:ascii="Times New Roman" w:eastAsia="Times New Roman" w:hAnsi="Times New Roman" w:cs="Times New Roman"/>
      <w:kern w:val="20"/>
      <w:sz w:val="24"/>
      <w:szCs w:val="20"/>
    </w:rPr>
  </w:style>
  <w:style w:type="character" w:customStyle="1" w:styleId="AnswerLevel2CharChar">
    <w:name w:val="Answer Level 2 Char Char"/>
    <w:link w:val="AnswerLevel2"/>
    <w:rsid w:val="00C71F43"/>
    <w:rPr>
      <w:rFonts w:ascii="Times New Roman" w:eastAsia="Times New Roman" w:hAnsi="Times New Roman" w:cs="Times New Roman"/>
      <w:kern w:val="20"/>
      <w:sz w:val="24"/>
      <w:szCs w:val="20"/>
    </w:rPr>
  </w:style>
  <w:style w:type="paragraph" w:customStyle="1" w:styleId="Default">
    <w:name w:val="Default"/>
    <w:rsid w:val="00C71F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msonormal">
    <w:name w:val="x_msonormal"/>
    <w:basedOn w:val="Normal"/>
    <w:rsid w:val="00C71F43"/>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rsid w:val="00956C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54">
      <w:bodyDiv w:val="1"/>
      <w:marLeft w:val="0"/>
      <w:marRight w:val="0"/>
      <w:marTop w:val="0"/>
      <w:marBottom w:val="0"/>
      <w:divBdr>
        <w:top w:val="none" w:sz="0" w:space="0" w:color="auto"/>
        <w:left w:val="none" w:sz="0" w:space="0" w:color="auto"/>
        <w:bottom w:val="none" w:sz="0" w:space="0" w:color="auto"/>
        <w:right w:val="none" w:sz="0" w:space="0" w:color="auto"/>
      </w:divBdr>
    </w:div>
    <w:div w:id="59452378">
      <w:bodyDiv w:val="1"/>
      <w:marLeft w:val="0"/>
      <w:marRight w:val="0"/>
      <w:marTop w:val="0"/>
      <w:marBottom w:val="0"/>
      <w:divBdr>
        <w:top w:val="none" w:sz="0" w:space="0" w:color="auto"/>
        <w:left w:val="none" w:sz="0" w:space="0" w:color="auto"/>
        <w:bottom w:val="none" w:sz="0" w:space="0" w:color="auto"/>
        <w:right w:val="none" w:sz="0" w:space="0" w:color="auto"/>
      </w:divBdr>
    </w:div>
    <w:div w:id="225838930">
      <w:bodyDiv w:val="1"/>
      <w:marLeft w:val="0"/>
      <w:marRight w:val="0"/>
      <w:marTop w:val="0"/>
      <w:marBottom w:val="0"/>
      <w:divBdr>
        <w:top w:val="none" w:sz="0" w:space="0" w:color="auto"/>
        <w:left w:val="none" w:sz="0" w:space="0" w:color="auto"/>
        <w:bottom w:val="none" w:sz="0" w:space="0" w:color="auto"/>
        <w:right w:val="none" w:sz="0" w:space="0" w:color="auto"/>
      </w:divBdr>
    </w:div>
    <w:div w:id="307518947">
      <w:bodyDiv w:val="1"/>
      <w:marLeft w:val="0"/>
      <w:marRight w:val="0"/>
      <w:marTop w:val="0"/>
      <w:marBottom w:val="0"/>
      <w:divBdr>
        <w:top w:val="none" w:sz="0" w:space="0" w:color="auto"/>
        <w:left w:val="none" w:sz="0" w:space="0" w:color="auto"/>
        <w:bottom w:val="none" w:sz="0" w:space="0" w:color="auto"/>
        <w:right w:val="none" w:sz="0" w:space="0" w:color="auto"/>
      </w:divBdr>
    </w:div>
    <w:div w:id="483008252">
      <w:bodyDiv w:val="1"/>
      <w:marLeft w:val="0"/>
      <w:marRight w:val="0"/>
      <w:marTop w:val="0"/>
      <w:marBottom w:val="0"/>
      <w:divBdr>
        <w:top w:val="none" w:sz="0" w:space="0" w:color="auto"/>
        <w:left w:val="none" w:sz="0" w:space="0" w:color="auto"/>
        <w:bottom w:val="none" w:sz="0" w:space="0" w:color="auto"/>
        <w:right w:val="none" w:sz="0" w:space="0" w:color="auto"/>
      </w:divBdr>
    </w:div>
    <w:div w:id="703555199">
      <w:bodyDiv w:val="1"/>
      <w:marLeft w:val="0"/>
      <w:marRight w:val="0"/>
      <w:marTop w:val="0"/>
      <w:marBottom w:val="0"/>
      <w:divBdr>
        <w:top w:val="none" w:sz="0" w:space="0" w:color="auto"/>
        <w:left w:val="none" w:sz="0" w:space="0" w:color="auto"/>
        <w:bottom w:val="none" w:sz="0" w:space="0" w:color="auto"/>
        <w:right w:val="none" w:sz="0" w:space="0" w:color="auto"/>
      </w:divBdr>
    </w:div>
    <w:div w:id="829834842">
      <w:bodyDiv w:val="1"/>
      <w:marLeft w:val="0"/>
      <w:marRight w:val="0"/>
      <w:marTop w:val="0"/>
      <w:marBottom w:val="0"/>
      <w:divBdr>
        <w:top w:val="none" w:sz="0" w:space="0" w:color="auto"/>
        <w:left w:val="none" w:sz="0" w:space="0" w:color="auto"/>
        <w:bottom w:val="none" w:sz="0" w:space="0" w:color="auto"/>
        <w:right w:val="none" w:sz="0" w:space="0" w:color="auto"/>
      </w:divBdr>
    </w:div>
    <w:div w:id="858469452">
      <w:bodyDiv w:val="1"/>
      <w:marLeft w:val="0"/>
      <w:marRight w:val="0"/>
      <w:marTop w:val="0"/>
      <w:marBottom w:val="0"/>
      <w:divBdr>
        <w:top w:val="none" w:sz="0" w:space="0" w:color="auto"/>
        <w:left w:val="none" w:sz="0" w:space="0" w:color="auto"/>
        <w:bottom w:val="none" w:sz="0" w:space="0" w:color="auto"/>
        <w:right w:val="none" w:sz="0" w:space="0" w:color="auto"/>
      </w:divBdr>
    </w:div>
    <w:div w:id="954943868">
      <w:bodyDiv w:val="1"/>
      <w:marLeft w:val="0"/>
      <w:marRight w:val="0"/>
      <w:marTop w:val="0"/>
      <w:marBottom w:val="0"/>
      <w:divBdr>
        <w:top w:val="none" w:sz="0" w:space="0" w:color="auto"/>
        <w:left w:val="none" w:sz="0" w:space="0" w:color="auto"/>
        <w:bottom w:val="none" w:sz="0" w:space="0" w:color="auto"/>
        <w:right w:val="none" w:sz="0" w:space="0" w:color="auto"/>
      </w:divBdr>
    </w:div>
    <w:div w:id="1323853000">
      <w:bodyDiv w:val="1"/>
      <w:marLeft w:val="0"/>
      <w:marRight w:val="0"/>
      <w:marTop w:val="0"/>
      <w:marBottom w:val="0"/>
      <w:divBdr>
        <w:top w:val="none" w:sz="0" w:space="0" w:color="auto"/>
        <w:left w:val="none" w:sz="0" w:space="0" w:color="auto"/>
        <w:bottom w:val="none" w:sz="0" w:space="0" w:color="auto"/>
        <w:right w:val="none" w:sz="0" w:space="0" w:color="auto"/>
      </w:divBdr>
    </w:div>
    <w:div w:id="1464074750">
      <w:bodyDiv w:val="1"/>
      <w:marLeft w:val="0"/>
      <w:marRight w:val="0"/>
      <w:marTop w:val="0"/>
      <w:marBottom w:val="0"/>
      <w:divBdr>
        <w:top w:val="none" w:sz="0" w:space="0" w:color="auto"/>
        <w:left w:val="none" w:sz="0" w:space="0" w:color="auto"/>
        <w:bottom w:val="none" w:sz="0" w:space="0" w:color="auto"/>
        <w:right w:val="none" w:sz="0" w:space="0" w:color="auto"/>
      </w:divBdr>
    </w:div>
    <w:div w:id="1574241516">
      <w:bodyDiv w:val="1"/>
      <w:marLeft w:val="0"/>
      <w:marRight w:val="0"/>
      <w:marTop w:val="0"/>
      <w:marBottom w:val="0"/>
      <w:divBdr>
        <w:top w:val="none" w:sz="0" w:space="0" w:color="auto"/>
        <w:left w:val="none" w:sz="0" w:space="0" w:color="auto"/>
        <w:bottom w:val="none" w:sz="0" w:space="0" w:color="auto"/>
        <w:right w:val="none" w:sz="0" w:space="0" w:color="auto"/>
      </w:divBdr>
    </w:div>
    <w:div w:id="1634943034">
      <w:bodyDiv w:val="1"/>
      <w:marLeft w:val="0"/>
      <w:marRight w:val="0"/>
      <w:marTop w:val="0"/>
      <w:marBottom w:val="0"/>
      <w:divBdr>
        <w:top w:val="none" w:sz="0" w:space="0" w:color="auto"/>
        <w:left w:val="none" w:sz="0" w:space="0" w:color="auto"/>
        <w:bottom w:val="none" w:sz="0" w:space="0" w:color="auto"/>
        <w:right w:val="none" w:sz="0" w:space="0" w:color="auto"/>
      </w:divBdr>
    </w:div>
    <w:div w:id="1655180516">
      <w:bodyDiv w:val="1"/>
      <w:marLeft w:val="0"/>
      <w:marRight w:val="0"/>
      <w:marTop w:val="0"/>
      <w:marBottom w:val="0"/>
      <w:divBdr>
        <w:top w:val="none" w:sz="0" w:space="0" w:color="auto"/>
        <w:left w:val="none" w:sz="0" w:space="0" w:color="auto"/>
        <w:bottom w:val="none" w:sz="0" w:space="0" w:color="auto"/>
        <w:right w:val="none" w:sz="0" w:space="0" w:color="auto"/>
      </w:divBdr>
    </w:div>
    <w:div w:id="1702705628">
      <w:bodyDiv w:val="1"/>
      <w:marLeft w:val="0"/>
      <w:marRight w:val="0"/>
      <w:marTop w:val="0"/>
      <w:marBottom w:val="0"/>
      <w:divBdr>
        <w:top w:val="none" w:sz="0" w:space="0" w:color="auto"/>
        <w:left w:val="none" w:sz="0" w:space="0" w:color="auto"/>
        <w:bottom w:val="none" w:sz="0" w:space="0" w:color="auto"/>
        <w:right w:val="none" w:sz="0" w:space="0" w:color="auto"/>
      </w:divBdr>
    </w:div>
    <w:div w:id="1740905952">
      <w:bodyDiv w:val="1"/>
      <w:marLeft w:val="0"/>
      <w:marRight w:val="0"/>
      <w:marTop w:val="0"/>
      <w:marBottom w:val="0"/>
      <w:divBdr>
        <w:top w:val="none" w:sz="0" w:space="0" w:color="auto"/>
        <w:left w:val="none" w:sz="0" w:space="0" w:color="auto"/>
        <w:bottom w:val="none" w:sz="0" w:space="0" w:color="auto"/>
        <w:right w:val="none" w:sz="0" w:space="0" w:color="auto"/>
      </w:divBdr>
    </w:div>
    <w:div w:id="17680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D76B-1ED2-4926-9279-A3DD649B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20</cp:revision>
  <cp:lastPrinted>2020-09-16T20:47:00Z</cp:lastPrinted>
  <dcterms:created xsi:type="dcterms:W3CDTF">2025-03-03T19:32:00Z</dcterms:created>
  <dcterms:modified xsi:type="dcterms:W3CDTF">2026-05-28T16:37:00Z</dcterms:modified>
</cp:coreProperties>
</file>