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8D65" w14:textId="247504D4" w:rsidR="0077268F" w:rsidRDefault="0077268F" w:rsidP="0077268F">
      <w:pPr>
        <w:ind w:left="-720"/>
        <w:rPr>
          <w:rFonts w:eastAsia="Calibri" w:cs="Arial"/>
          <w:b/>
          <w:bCs/>
          <w:sz w:val="26"/>
          <w:szCs w:val="26"/>
        </w:rPr>
      </w:pPr>
      <w:bookmarkStart w:id="0" w:name="_Hlk228878913"/>
      <w:bookmarkStart w:id="1" w:name="_Hlk89341694"/>
      <w:r>
        <w:rPr>
          <w:rFonts w:eastAsia="Calibri" w:cs="Arial"/>
          <w:b/>
          <w:bCs/>
          <w:noProof/>
          <w:sz w:val="26"/>
          <w:szCs w:val="26"/>
        </w:rPr>
        <w:drawing>
          <wp:inline distT="0" distB="0" distL="0" distR="0" wp14:anchorId="38470824" wp14:editId="18101FBA">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64E6F385" w14:textId="77777777" w:rsidR="0077268F" w:rsidRDefault="0077268F" w:rsidP="008B0D31">
      <w:pPr>
        <w:jc w:val="center"/>
        <w:rPr>
          <w:rFonts w:eastAsia="Calibri" w:cs="Arial"/>
          <w:b/>
          <w:bCs/>
          <w:sz w:val="26"/>
          <w:szCs w:val="26"/>
        </w:rPr>
      </w:pPr>
    </w:p>
    <w:p w14:paraId="0B006416" w14:textId="77777777" w:rsidR="0077268F" w:rsidRDefault="0077268F" w:rsidP="008B0D31">
      <w:pPr>
        <w:jc w:val="center"/>
        <w:rPr>
          <w:rFonts w:eastAsia="Calibri" w:cs="Arial"/>
          <w:b/>
          <w:bCs/>
          <w:sz w:val="26"/>
          <w:szCs w:val="26"/>
        </w:rPr>
      </w:pPr>
    </w:p>
    <w:p w14:paraId="5D0C3B30" w14:textId="0F42A6A9" w:rsidR="00200061" w:rsidRPr="00120E80" w:rsidRDefault="00F65B1D" w:rsidP="008B0D31">
      <w:pPr>
        <w:jc w:val="center"/>
        <w:rPr>
          <w:rFonts w:eastAsia="Calibri" w:cs="Arial"/>
          <w:b/>
          <w:bCs/>
          <w:sz w:val="26"/>
          <w:szCs w:val="26"/>
        </w:rPr>
      </w:pPr>
      <w:r>
        <w:rPr>
          <w:rFonts w:eastAsia="Calibri" w:cs="Arial"/>
          <w:b/>
          <w:bCs/>
          <w:sz w:val="26"/>
          <w:szCs w:val="26"/>
        </w:rPr>
        <w:t>May 8</w:t>
      </w:r>
      <w:r w:rsidR="00F26534" w:rsidRPr="00120E80">
        <w:rPr>
          <w:rFonts w:eastAsia="Calibri" w:cs="Arial"/>
          <w:b/>
          <w:bCs/>
          <w:sz w:val="26"/>
          <w:szCs w:val="26"/>
        </w:rPr>
        <w:t>, 202</w:t>
      </w:r>
      <w:r>
        <w:rPr>
          <w:rFonts w:eastAsia="Calibri" w:cs="Arial"/>
          <w:b/>
          <w:bCs/>
          <w:sz w:val="26"/>
          <w:szCs w:val="26"/>
        </w:rPr>
        <w:t>6</w:t>
      </w:r>
    </w:p>
    <w:bookmarkEnd w:id="0"/>
    <w:p w14:paraId="39479A1F" w14:textId="77777777" w:rsidR="008B0D31" w:rsidRPr="00643312" w:rsidRDefault="008B0D31" w:rsidP="008B0D31">
      <w:pPr>
        <w:jc w:val="center"/>
        <w:rPr>
          <w:rFonts w:cs="Arial"/>
          <w:b/>
        </w:rPr>
      </w:pPr>
    </w:p>
    <w:p w14:paraId="0AF07081" w14:textId="12DE458A" w:rsidR="005900D7" w:rsidRPr="00643312" w:rsidRDefault="008B0D31" w:rsidP="008B0D31">
      <w:pPr>
        <w:jc w:val="center"/>
        <w:rPr>
          <w:rFonts w:eastAsia="Calibri" w:cs="Arial"/>
          <w:b/>
          <w:bCs/>
          <w:sz w:val="26"/>
          <w:szCs w:val="26"/>
        </w:rPr>
      </w:pPr>
      <w:r w:rsidRPr="00643312">
        <w:rPr>
          <w:rFonts w:eastAsia="Calibri" w:cs="Arial"/>
          <w:b/>
          <w:bCs/>
          <w:sz w:val="26"/>
          <w:szCs w:val="26"/>
        </w:rPr>
        <w:t xml:space="preserve">Request for Proposals (RFP) </w:t>
      </w:r>
      <w:r w:rsidR="00CF7D0F" w:rsidRPr="00643312">
        <w:rPr>
          <w:rFonts w:eastAsia="Calibri" w:cs="Arial"/>
          <w:b/>
          <w:bCs/>
          <w:sz w:val="26"/>
          <w:szCs w:val="26"/>
        </w:rPr>
        <w:t>2</w:t>
      </w:r>
      <w:r w:rsidR="00F65B1D">
        <w:rPr>
          <w:rFonts w:eastAsia="Calibri" w:cs="Arial"/>
          <w:b/>
          <w:bCs/>
          <w:sz w:val="26"/>
          <w:szCs w:val="26"/>
        </w:rPr>
        <w:t>6</w:t>
      </w:r>
      <w:r w:rsidR="00F26534" w:rsidRPr="00643312">
        <w:rPr>
          <w:rFonts w:eastAsia="Calibri" w:cs="Arial"/>
          <w:b/>
          <w:bCs/>
          <w:sz w:val="26"/>
          <w:szCs w:val="26"/>
        </w:rPr>
        <w:t>-</w:t>
      </w:r>
      <w:r w:rsidR="00A173D6" w:rsidRPr="00643312">
        <w:rPr>
          <w:rFonts w:eastAsia="Calibri" w:cs="Arial"/>
          <w:b/>
          <w:bCs/>
          <w:sz w:val="26"/>
          <w:szCs w:val="26"/>
        </w:rPr>
        <w:t>10</w:t>
      </w:r>
      <w:r w:rsidR="008B30A5">
        <w:rPr>
          <w:rFonts w:eastAsia="Calibri" w:cs="Arial"/>
          <w:b/>
          <w:bCs/>
          <w:sz w:val="26"/>
          <w:szCs w:val="26"/>
        </w:rPr>
        <w:t>0</w:t>
      </w:r>
      <w:r w:rsidR="00F26534" w:rsidRPr="00643312">
        <w:rPr>
          <w:rFonts w:eastAsia="Calibri" w:cs="Arial"/>
          <w:b/>
          <w:bCs/>
          <w:sz w:val="26"/>
          <w:szCs w:val="26"/>
        </w:rPr>
        <w:t xml:space="preserve"> </w:t>
      </w:r>
    </w:p>
    <w:p w14:paraId="4518C527" w14:textId="3AE86500" w:rsidR="008B0D31" w:rsidRPr="00643312" w:rsidRDefault="008B30A5" w:rsidP="008B0D31">
      <w:pPr>
        <w:jc w:val="center"/>
        <w:rPr>
          <w:rFonts w:eastAsia="Calibri" w:cs="Arial"/>
          <w:b/>
          <w:bCs/>
          <w:sz w:val="26"/>
          <w:szCs w:val="26"/>
        </w:rPr>
      </w:pPr>
      <w:r>
        <w:rPr>
          <w:rFonts w:eastAsia="Calibri" w:cs="Arial"/>
          <w:b/>
          <w:bCs/>
          <w:sz w:val="26"/>
          <w:szCs w:val="26"/>
        </w:rPr>
        <w:t xml:space="preserve">Real Property Appraisal </w:t>
      </w:r>
      <w:r w:rsidR="00BB39C9">
        <w:rPr>
          <w:rFonts w:eastAsia="Calibri" w:cs="Arial"/>
          <w:b/>
          <w:bCs/>
          <w:sz w:val="26"/>
          <w:szCs w:val="26"/>
        </w:rPr>
        <w:t>Services</w:t>
      </w:r>
      <w:r w:rsidR="00AE1FA6">
        <w:rPr>
          <w:rFonts w:eastAsia="Calibri" w:cs="Arial"/>
          <w:b/>
          <w:bCs/>
          <w:sz w:val="26"/>
          <w:szCs w:val="26"/>
        </w:rPr>
        <w:t xml:space="preserve"> </w:t>
      </w:r>
      <w:r w:rsidR="00AE1FA6" w:rsidRPr="00AE1FA6">
        <w:rPr>
          <w:rFonts w:eastAsia="Calibri" w:cs="Arial"/>
          <w:b/>
          <w:bCs/>
          <w:sz w:val="26"/>
          <w:szCs w:val="26"/>
        </w:rPr>
        <w:t>– Special Franchise Properties and Telecommunications Assessment Ceiling Properties</w:t>
      </w:r>
    </w:p>
    <w:p w14:paraId="62503D29" w14:textId="77777777" w:rsidR="005900D7" w:rsidRPr="00643312" w:rsidRDefault="005900D7" w:rsidP="008B0D31">
      <w:pPr>
        <w:jc w:val="center"/>
        <w:rPr>
          <w:rFonts w:eastAsia="Calibri" w:cs="Arial"/>
          <w:b/>
          <w:bCs/>
          <w:sz w:val="26"/>
          <w:szCs w:val="26"/>
        </w:rPr>
      </w:pPr>
    </w:p>
    <w:p w14:paraId="3B473F7D" w14:textId="7B237621" w:rsidR="008B0D31" w:rsidRPr="00643312" w:rsidRDefault="00A87C6F" w:rsidP="008B0D31">
      <w:pPr>
        <w:jc w:val="center"/>
        <w:rPr>
          <w:rFonts w:eastAsia="Calibri" w:cs="Arial"/>
          <w:b/>
          <w:bCs/>
          <w:sz w:val="26"/>
          <w:szCs w:val="26"/>
        </w:rPr>
      </w:pPr>
      <w:r w:rsidRPr="00643312">
        <w:rPr>
          <w:rFonts w:eastAsia="Calibri" w:cs="Arial"/>
          <w:b/>
          <w:bCs/>
          <w:sz w:val="26"/>
          <w:szCs w:val="26"/>
        </w:rPr>
        <w:t>Response</w:t>
      </w:r>
      <w:r w:rsidR="00C2381F">
        <w:rPr>
          <w:rFonts w:eastAsia="Calibri" w:cs="Arial"/>
          <w:b/>
          <w:bCs/>
          <w:sz w:val="26"/>
          <w:szCs w:val="26"/>
        </w:rPr>
        <w:t>s</w:t>
      </w:r>
      <w:r w:rsidRPr="00643312">
        <w:rPr>
          <w:rFonts w:eastAsia="Calibri" w:cs="Arial"/>
          <w:b/>
          <w:bCs/>
          <w:sz w:val="26"/>
          <w:szCs w:val="26"/>
        </w:rPr>
        <w:t xml:space="preserve"> to </w:t>
      </w:r>
      <w:r w:rsidR="00167A3E">
        <w:rPr>
          <w:rFonts w:eastAsia="Calibri" w:cs="Arial"/>
          <w:b/>
          <w:bCs/>
          <w:sz w:val="26"/>
          <w:szCs w:val="26"/>
        </w:rPr>
        <w:t xml:space="preserve">First Round </w:t>
      </w:r>
      <w:r w:rsidRPr="00643312">
        <w:rPr>
          <w:rFonts w:eastAsia="Calibri" w:cs="Arial"/>
          <w:b/>
          <w:bCs/>
          <w:sz w:val="26"/>
          <w:szCs w:val="26"/>
        </w:rPr>
        <w:t>Bidder Questions</w:t>
      </w:r>
      <w:r w:rsidR="00BF6ED8">
        <w:rPr>
          <w:rFonts w:eastAsia="Calibri" w:cs="Arial"/>
          <w:b/>
          <w:bCs/>
          <w:sz w:val="26"/>
          <w:szCs w:val="26"/>
        </w:rPr>
        <w:t xml:space="preserve"> </w:t>
      </w:r>
    </w:p>
    <w:p w14:paraId="375B5FF9" w14:textId="77777777" w:rsidR="008B0D31" w:rsidRPr="00643312" w:rsidRDefault="008B0D31"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BF6ED8" w:rsidRDefault="008B0D31" w:rsidP="008B0D31">
      <w:pPr>
        <w:autoSpaceDE w:val="0"/>
        <w:autoSpaceDN w:val="0"/>
        <w:adjustRightInd w:val="0"/>
        <w:spacing w:after="200" w:line="276" w:lineRule="auto"/>
        <w:rPr>
          <w:rFonts w:eastAsia="Calibri" w:cs="Arial"/>
          <w:sz w:val="22"/>
          <w:szCs w:val="22"/>
        </w:rPr>
      </w:pPr>
      <w:bookmarkStart w:id="2" w:name="_Hlk3362932"/>
      <w:r w:rsidRPr="00BF6ED8">
        <w:rPr>
          <w:rFonts w:eastAsia="Calibri" w:cs="Arial"/>
          <w:sz w:val="22"/>
          <w:szCs w:val="22"/>
        </w:rPr>
        <w:t>To All Potential Bidders:</w:t>
      </w:r>
    </w:p>
    <w:p w14:paraId="662DDE48" w14:textId="7F3B96D1" w:rsidR="00BF341E" w:rsidRPr="00BF6ED8" w:rsidRDefault="00A87C6F" w:rsidP="00BF6ED8">
      <w:pPr>
        <w:autoSpaceDE w:val="0"/>
        <w:autoSpaceDN w:val="0"/>
        <w:spacing w:before="60" w:after="200" w:line="276" w:lineRule="auto"/>
        <w:jc w:val="both"/>
        <w:rPr>
          <w:rFonts w:cs="Arial"/>
          <w:sz w:val="22"/>
          <w:szCs w:val="22"/>
        </w:rPr>
      </w:pPr>
      <w:r w:rsidRPr="00BF6ED8">
        <w:rPr>
          <w:rFonts w:cs="Arial"/>
          <w:sz w:val="22"/>
          <w:szCs w:val="22"/>
        </w:rPr>
        <w:t>Attached are the Department’s Responses to Bidder Questions received for the above referenced RFP.</w:t>
      </w:r>
      <w:bookmarkEnd w:id="2"/>
    </w:p>
    <w:p w14:paraId="5E07C3ED" w14:textId="77777777" w:rsidR="00BF6ED8" w:rsidRDefault="00BF6ED8" w:rsidP="00BF6ED8">
      <w:pPr>
        <w:spacing w:before="240" w:line="276" w:lineRule="auto"/>
        <w:rPr>
          <w:rFonts w:cs="Arial"/>
          <w:sz w:val="22"/>
          <w:szCs w:val="22"/>
        </w:rPr>
      </w:pPr>
    </w:p>
    <w:p w14:paraId="1F6D0E76" w14:textId="77777777" w:rsidR="004F63AB" w:rsidRDefault="004F63AB" w:rsidP="00BF6ED8">
      <w:pPr>
        <w:spacing w:before="240" w:line="276" w:lineRule="auto"/>
        <w:rPr>
          <w:rFonts w:cs="Arial"/>
          <w:sz w:val="22"/>
          <w:szCs w:val="22"/>
        </w:rPr>
      </w:pPr>
    </w:p>
    <w:p w14:paraId="1E6B42AE" w14:textId="77777777" w:rsidR="004F63AB" w:rsidRDefault="004F63AB" w:rsidP="00BF6ED8">
      <w:pPr>
        <w:spacing w:before="240" w:line="276" w:lineRule="auto"/>
        <w:rPr>
          <w:rFonts w:cs="Arial"/>
          <w:sz w:val="22"/>
          <w:szCs w:val="22"/>
        </w:rPr>
      </w:pPr>
    </w:p>
    <w:p w14:paraId="0B7D7B80" w14:textId="77777777" w:rsidR="004F63AB" w:rsidRDefault="004F63AB" w:rsidP="00BF6ED8">
      <w:pPr>
        <w:spacing w:before="240" w:line="276" w:lineRule="auto"/>
        <w:rPr>
          <w:rFonts w:cs="Arial"/>
          <w:sz w:val="22"/>
          <w:szCs w:val="22"/>
        </w:rPr>
      </w:pPr>
    </w:p>
    <w:p w14:paraId="1D5111B7" w14:textId="77777777" w:rsidR="004F63AB" w:rsidRDefault="004F63AB" w:rsidP="00BF6ED8">
      <w:pPr>
        <w:spacing w:before="240" w:line="276" w:lineRule="auto"/>
        <w:rPr>
          <w:rFonts w:cs="Arial"/>
          <w:sz w:val="22"/>
          <w:szCs w:val="22"/>
        </w:rPr>
      </w:pPr>
    </w:p>
    <w:p w14:paraId="7A3348F1" w14:textId="77777777" w:rsidR="004F63AB" w:rsidRDefault="004F63AB" w:rsidP="00BF6ED8">
      <w:pPr>
        <w:spacing w:before="240" w:line="276" w:lineRule="auto"/>
        <w:rPr>
          <w:rFonts w:cs="Arial"/>
          <w:sz w:val="22"/>
          <w:szCs w:val="22"/>
        </w:rPr>
      </w:pPr>
    </w:p>
    <w:p w14:paraId="4A0BCDB2" w14:textId="77777777" w:rsidR="004F63AB" w:rsidRDefault="004F63AB" w:rsidP="00BF6ED8">
      <w:pPr>
        <w:spacing w:before="240" w:line="276" w:lineRule="auto"/>
        <w:rPr>
          <w:rFonts w:cs="Arial"/>
          <w:sz w:val="22"/>
          <w:szCs w:val="22"/>
        </w:rPr>
      </w:pPr>
    </w:p>
    <w:p w14:paraId="210B7FE9" w14:textId="77777777" w:rsidR="004F63AB" w:rsidRDefault="004F63AB" w:rsidP="00BF6ED8">
      <w:pPr>
        <w:spacing w:before="240" w:line="276" w:lineRule="auto"/>
        <w:rPr>
          <w:rFonts w:cs="Arial"/>
          <w:sz w:val="22"/>
          <w:szCs w:val="22"/>
        </w:rPr>
      </w:pPr>
    </w:p>
    <w:p w14:paraId="3FE5CE0B" w14:textId="77777777" w:rsidR="004F63AB" w:rsidRDefault="004F63AB" w:rsidP="00BF6ED8">
      <w:pPr>
        <w:spacing w:before="240" w:line="276" w:lineRule="auto"/>
        <w:rPr>
          <w:rFonts w:cs="Arial"/>
          <w:sz w:val="22"/>
          <w:szCs w:val="22"/>
        </w:rPr>
      </w:pPr>
    </w:p>
    <w:p w14:paraId="1A04049E" w14:textId="77777777" w:rsidR="004F63AB" w:rsidRDefault="004F63AB" w:rsidP="00BF6ED8">
      <w:pPr>
        <w:spacing w:before="240" w:line="276" w:lineRule="auto"/>
        <w:rPr>
          <w:rFonts w:cs="Arial"/>
          <w:sz w:val="22"/>
          <w:szCs w:val="22"/>
        </w:rPr>
      </w:pPr>
    </w:p>
    <w:p w14:paraId="4505FC32" w14:textId="77777777" w:rsidR="004F63AB" w:rsidRDefault="004F63AB" w:rsidP="00BF6ED8">
      <w:pPr>
        <w:spacing w:before="240" w:line="276" w:lineRule="auto"/>
        <w:rPr>
          <w:rFonts w:cs="Arial"/>
          <w:sz w:val="22"/>
          <w:szCs w:val="22"/>
        </w:rPr>
        <w:sectPr w:rsidR="004F63AB" w:rsidSect="00897F46">
          <w:headerReference w:type="default" r:id="rId9"/>
          <w:footerReference w:type="default" r:id="rId10"/>
          <w:footerReference w:type="first" r:id="rId11"/>
          <w:pgSz w:w="12240" w:h="15840"/>
          <w:pgMar w:top="576" w:right="1440" w:bottom="1440" w:left="1440" w:header="288" w:footer="432" w:gutter="0"/>
          <w:cols w:space="720"/>
          <w:titlePg/>
          <w:docGrid w:linePitch="360"/>
        </w:sectPr>
      </w:pPr>
    </w:p>
    <w:p w14:paraId="547354D5" w14:textId="00ED40AE" w:rsidR="00B33661" w:rsidRPr="00B33661" w:rsidRDefault="00B33661" w:rsidP="00B33661">
      <w:pPr>
        <w:tabs>
          <w:tab w:val="left" w:pos="2445"/>
        </w:tabs>
        <w:rPr>
          <w:rFonts w:cs="Arial"/>
          <w:sz w:val="22"/>
          <w:szCs w:val="22"/>
        </w:rPr>
        <w:sectPr w:rsidR="00B33661" w:rsidRPr="00B33661" w:rsidSect="004F63AB">
          <w:footerReference w:type="default" r:id="rId12"/>
          <w:pgSz w:w="15840" w:h="12240" w:orient="landscape"/>
          <w:pgMar w:top="1440" w:right="576" w:bottom="1440" w:left="1440" w:header="288" w:footer="432" w:gutter="0"/>
          <w:cols w:space="720"/>
          <w:docGrid w:linePitch="360"/>
        </w:sectPr>
      </w:pPr>
    </w:p>
    <w:p w14:paraId="21B6238D" w14:textId="7578D2CF" w:rsidR="00956CA7" w:rsidRDefault="00956CA7" w:rsidP="00956CA7">
      <w:pPr>
        <w:pStyle w:val="Caption"/>
        <w:keepNext/>
      </w:pPr>
      <w:r>
        <w:t xml:space="preserve">Table </w:t>
      </w:r>
      <w:r>
        <w:fldChar w:fldCharType="begin"/>
      </w:r>
      <w:r>
        <w:instrText xml:space="preserve"> SEQ Table \* ARABIC </w:instrText>
      </w:r>
      <w:r>
        <w:fldChar w:fldCharType="separate"/>
      </w:r>
      <w:r>
        <w:rPr>
          <w:noProof/>
        </w:rPr>
        <w:t>1</w:t>
      </w:r>
      <w:r>
        <w:fldChar w:fldCharType="end"/>
      </w:r>
      <w:r>
        <w:t>: RFP 26-100 DTF Responses to First Round of Questions and Answers</w:t>
      </w:r>
    </w:p>
    <w:tbl>
      <w:tblPr>
        <w:tblpPr w:leftFromText="180" w:rightFromText="180" w:vertAnchor="text" w:tblpX="331" w:tblpY="1"/>
        <w:tblOverlap w:val="never"/>
        <w:tblW w:w="47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
        <w:gridCol w:w="1979"/>
        <w:gridCol w:w="720"/>
        <w:gridCol w:w="5220"/>
        <w:gridCol w:w="6299"/>
      </w:tblGrid>
      <w:tr w:rsidR="00BC1DAD" w:rsidRPr="00BC1DAD" w14:paraId="3D5A459E" w14:textId="77777777" w:rsidTr="00941155">
        <w:trPr>
          <w:trHeight w:val="530"/>
          <w:tblHeader/>
        </w:trPr>
        <w:tc>
          <w:tcPr>
            <w:tcW w:w="122" w:type="pct"/>
            <w:vMerge w:val="restart"/>
            <w:shd w:val="pct20" w:color="auto" w:fill="auto"/>
            <w:vAlign w:val="center"/>
          </w:tcPr>
          <w:p w14:paraId="33092792" w14:textId="1A348E92" w:rsidR="00BC1DAD" w:rsidRPr="00BC1DAD" w:rsidRDefault="00BC1DAD" w:rsidP="004F63AB">
            <w:pPr>
              <w:spacing w:before="120" w:after="120"/>
              <w:rPr>
                <w:rFonts w:cs="Arial"/>
                <w:b/>
                <w:sz w:val="22"/>
                <w:szCs w:val="22"/>
              </w:rPr>
            </w:pPr>
            <w:bookmarkStart w:id="41" w:name="_Hlk191476108"/>
            <w:bookmarkEnd w:id="1"/>
            <w:r w:rsidRPr="00BC1DAD">
              <w:rPr>
                <w:rFonts w:cs="Arial"/>
                <w:sz w:val="22"/>
                <w:szCs w:val="22"/>
              </w:rPr>
              <w:br w:type="page"/>
            </w:r>
            <w:r w:rsidRPr="00BC1DAD">
              <w:rPr>
                <w:rFonts w:cs="Arial"/>
                <w:b/>
                <w:sz w:val="22"/>
                <w:szCs w:val="22"/>
              </w:rPr>
              <w:t>#</w:t>
            </w:r>
          </w:p>
        </w:tc>
        <w:tc>
          <w:tcPr>
            <w:tcW w:w="926" w:type="pct"/>
            <w:gridSpan w:val="2"/>
            <w:tcBorders>
              <w:bottom w:val="single" w:sz="8" w:space="0" w:color="000000"/>
            </w:tcBorders>
            <w:shd w:val="pct20" w:color="auto" w:fill="auto"/>
            <w:vAlign w:val="center"/>
          </w:tcPr>
          <w:p w14:paraId="13083C81" w14:textId="5D1190EE" w:rsidR="00E040F3" w:rsidRPr="00BC1DAD" w:rsidRDefault="00BC1DAD" w:rsidP="00E040F3">
            <w:pPr>
              <w:spacing w:before="120" w:after="120"/>
              <w:jc w:val="center"/>
              <w:rPr>
                <w:rFonts w:cs="Arial"/>
                <w:b/>
                <w:sz w:val="22"/>
                <w:szCs w:val="22"/>
              </w:rPr>
            </w:pPr>
            <w:r w:rsidRPr="00BC1DAD">
              <w:rPr>
                <w:rFonts w:cs="Arial"/>
                <w:b/>
                <w:sz w:val="22"/>
                <w:szCs w:val="22"/>
              </w:rPr>
              <w:t>RFP Reference</w:t>
            </w:r>
          </w:p>
        </w:tc>
        <w:tc>
          <w:tcPr>
            <w:tcW w:w="1791" w:type="pct"/>
            <w:vMerge w:val="restart"/>
            <w:shd w:val="pct20" w:color="auto" w:fill="auto"/>
            <w:vAlign w:val="center"/>
          </w:tcPr>
          <w:p w14:paraId="01D0C249" w14:textId="77777777" w:rsidR="00BC1DAD" w:rsidRPr="00BC1DAD" w:rsidRDefault="00BC1DAD" w:rsidP="00EA30D0">
            <w:pPr>
              <w:spacing w:before="120" w:after="120"/>
              <w:jc w:val="center"/>
              <w:rPr>
                <w:rFonts w:cs="Arial"/>
                <w:b/>
                <w:sz w:val="22"/>
                <w:szCs w:val="22"/>
              </w:rPr>
            </w:pPr>
            <w:r w:rsidRPr="00BC1DAD">
              <w:rPr>
                <w:rFonts w:cs="Arial"/>
                <w:b/>
                <w:sz w:val="22"/>
                <w:szCs w:val="22"/>
              </w:rPr>
              <w:t>Question</w:t>
            </w:r>
          </w:p>
        </w:tc>
        <w:tc>
          <w:tcPr>
            <w:tcW w:w="2161" w:type="pct"/>
            <w:vMerge w:val="restart"/>
            <w:shd w:val="pct20" w:color="auto" w:fill="auto"/>
            <w:vAlign w:val="center"/>
          </w:tcPr>
          <w:p w14:paraId="40BA123B" w14:textId="77777777" w:rsidR="00BC1DAD" w:rsidRPr="00997BB9" w:rsidRDefault="00BC1DAD" w:rsidP="00EA30D0">
            <w:pPr>
              <w:spacing w:before="120" w:after="120"/>
              <w:jc w:val="center"/>
              <w:rPr>
                <w:rFonts w:cs="Arial"/>
                <w:b/>
                <w:sz w:val="22"/>
                <w:szCs w:val="22"/>
              </w:rPr>
            </w:pPr>
            <w:r w:rsidRPr="00997BB9">
              <w:rPr>
                <w:rFonts w:cs="Arial"/>
                <w:b/>
                <w:sz w:val="22"/>
                <w:szCs w:val="22"/>
              </w:rPr>
              <w:t>Answer</w:t>
            </w:r>
          </w:p>
        </w:tc>
      </w:tr>
      <w:tr w:rsidR="00B33661" w:rsidRPr="00BC1DAD" w14:paraId="24B89875" w14:textId="77777777" w:rsidTr="00941155">
        <w:trPr>
          <w:tblHeader/>
        </w:trPr>
        <w:tc>
          <w:tcPr>
            <w:tcW w:w="122" w:type="pct"/>
            <w:vMerge/>
            <w:tcBorders>
              <w:bottom w:val="single" w:sz="8" w:space="0" w:color="000000"/>
            </w:tcBorders>
            <w:shd w:val="pct20" w:color="auto" w:fill="auto"/>
            <w:vAlign w:val="center"/>
          </w:tcPr>
          <w:p w14:paraId="06508DDA" w14:textId="77777777" w:rsidR="00BC1DAD" w:rsidRPr="00BC1DAD" w:rsidRDefault="00BC1DAD" w:rsidP="00EA30D0">
            <w:pPr>
              <w:spacing w:before="120" w:after="120"/>
              <w:jc w:val="center"/>
              <w:rPr>
                <w:rFonts w:cs="Arial"/>
                <w:sz w:val="22"/>
                <w:szCs w:val="22"/>
              </w:rPr>
            </w:pPr>
          </w:p>
        </w:tc>
        <w:tc>
          <w:tcPr>
            <w:tcW w:w="679" w:type="pct"/>
            <w:tcBorders>
              <w:bottom w:val="single" w:sz="8" w:space="0" w:color="000000"/>
            </w:tcBorders>
            <w:shd w:val="pct20" w:color="auto" w:fill="auto"/>
            <w:vAlign w:val="center"/>
          </w:tcPr>
          <w:p w14:paraId="5B5E89E2" w14:textId="240FC1B0" w:rsidR="00BC1DAD" w:rsidRPr="00BC1DAD" w:rsidRDefault="00BC1DAD" w:rsidP="00EA30D0">
            <w:pPr>
              <w:spacing w:before="120" w:after="120"/>
              <w:jc w:val="center"/>
              <w:rPr>
                <w:rFonts w:cs="Arial"/>
                <w:b/>
                <w:sz w:val="22"/>
                <w:szCs w:val="22"/>
              </w:rPr>
            </w:pPr>
            <w:r w:rsidRPr="00BC1DAD">
              <w:rPr>
                <w:rFonts w:cs="Arial"/>
                <w:b/>
                <w:sz w:val="22"/>
                <w:szCs w:val="22"/>
              </w:rPr>
              <w:t>Section</w:t>
            </w:r>
          </w:p>
        </w:tc>
        <w:tc>
          <w:tcPr>
            <w:tcW w:w="247" w:type="pct"/>
            <w:tcBorders>
              <w:bottom w:val="single" w:sz="8" w:space="0" w:color="000000"/>
            </w:tcBorders>
            <w:shd w:val="pct20" w:color="auto" w:fill="auto"/>
            <w:vAlign w:val="center"/>
          </w:tcPr>
          <w:p w14:paraId="54DC8AF4" w14:textId="3067ABE2" w:rsidR="00BC1DAD" w:rsidRPr="00EA30D0" w:rsidRDefault="00BC1DAD" w:rsidP="00EA30D0">
            <w:pPr>
              <w:spacing w:before="120" w:after="120"/>
              <w:jc w:val="center"/>
              <w:rPr>
                <w:rFonts w:cs="Arial"/>
                <w:b/>
                <w:sz w:val="20"/>
                <w:szCs w:val="20"/>
              </w:rPr>
            </w:pPr>
            <w:r w:rsidRPr="00EA30D0">
              <w:rPr>
                <w:rFonts w:cs="Arial"/>
                <w:b/>
                <w:sz w:val="20"/>
                <w:szCs w:val="20"/>
              </w:rPr>
              <w:t>Page</w:t>
            </w:r>
          </w:p>
        </w:tc>
        <w:tc>
          <w:tcPr>
            <w:tcW w:w="1791" w:type="pct"/>
            <w:vMerge/>
            <w:tcBorders>
              <w:bottom w:val="single" w:sz="8" w:space="0" w:color="000000"/>
            </w:tcBorders>
            <w:shd w:val="pct20" w:color="auto" w:fill="auto"/>
            <w:vAlign w:val="center"/>
          </w:tcPr>
          <w:p w14:paraId="396EECA7" w14:textId="77777777" w:rsidR="00BC1DAD" w:rsidRPr="00BC1DAD" w:rsidRDefault="00BC1DAD" w:rsidP="00EA30D0">
            <w:pPr>
              <w:spacing w:before="120" w:after="120"/>
              <w:jc w:val="center"/>
              <w:rPr>
                <w:rFonts w:cs="Arial"/>
                <w:b/>
                <w:sz w:val="22"/>
                <w:szCs w:val="22"/>
              </w:rPr>
            </w:pPr>
          </w:p>
        </w:tc>
        <w:tc>
          <w:tcPr>
            <w:tcW w:w="2161" w:type="pct"/>
            <w:vMerge/>
            <w:tcBorders>
              <w:bottom w:val="single" w:sz="8" w:space="0" w:color="000000"/>
            </w:tcBorders>
            <w:shd w:val="pct20" w:color="auto" w:fill="auto"/>
            <w:vAlign w:val="center"/>
          </w:tcPr>
          <w:p w14:paraId="6F798A39" w14:textId="77777777" w:rsidR="00BC1DAD" w:rsidRPr="00997BB9" w:rsidRDefault="00BC1DAD" w:rsidP="00EA30D0">
            <w:pPr>
              <w:spacing w:before="120" w:after="120"/>
              <w:jc w:val="center"/>
              <w:rPr>
                <w:rFonts w:cs="Arial"/>
                <w:b/>
                <w:sz w:val="22"/>
                <w:szCs w:val="22"/>
              </w:rPr>
            </w:pPr>
          </w:p>
        </w:tc>
      </w:tr>
      <w:tr w:rsidR="0026014E" w:rsidRPr="00BC1DAD" w14:paraId="04D6E25A"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2D8342" w14:textId="77777777" w:rsidR="0026014E" w:rsidRPr="00BC1DAD" w:rsidRDefault="0026014E" w:rsidP="0026014E">
            <w:pPr>
              <w:spacing w:before="120" w:after="120"/>
              <w:jc w:val="center"/>
              <w:rPr>
                <w:rFonts w:cs="Arial"/>
                <w:sz w:val="22"/>
                <w:szCs w:val="22"/>
              </w:rPr>
            </w:pPr>
            <w:r w:rsidRPr="00BC1DAD">
              <w:rPr>
                <w:rFonts w:cs="Arial"/>
                <w:sz w:val="22"/>
                <w:szCs w:val="22"/>
              </w:rPr>
              <w:t>1</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2546174"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6A2B78C1" w14:textId="77777777" w:rsidR="0026014E" w:rsidRPr="00272248" w:rsidRDefault="0026014E" w:rsidP="0026014E">
            <w:pPr>
              <w:spacing w:before="120" w:after="120"/>
              <w:rPr>
                <w:rFonts w:cs="Arial"/>
                <w:sz w:val="20"/>
                <w:szCs w:val="20"/>
              </w:rPr>
            </w:pPr>
            <w:r>
              <w:rPr>
                <w:rFonts w:cs="Arial"/>
                <w:sz w:val="20"/>
                <w:szCs w:val="20"/>
              </w:rPr>
              <w:t>2.1 Review Cost Data</w:t>
            </w:r>
          </w:p>
          <w:p w14:paraId="2C11520B" w14:textId="6B2A3A1C" w:rsidR="0026014E" w:rsidRPr="00BC1DAD" w:rsidRDefault="0026014E" w:rsidP="0026014E">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F854C62" w14:textId="29B99B47" w:rsidR="0026014E" w:rsidRPr="00BC1DAD" w:rsidRDefault="0026014E" w:rsidP="0026014E">
            <w:pPr>
              <w:spacing w:before="120" w:after="120"/>
              <w:jc w:val="center"/>
              <w:rPr>
                <w:rFonts w:cs="Arial"/>
                <w:sz w:val="22"/>
                <w:szCs w:val="22"/>
              </w:rPr>
            </w:pPr>
            <w:r w:rsidRPr="00272248">
              <w:rPr>
                <w:rFonts w:cs="Arial"/>
                <w:sz w:val="22"/>
                <w:szCs w:val="22"/>
              </w:rPr>
              <w:t>11</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3551772E" w14:textId="5086BFE5" w:rsidR="0026014E" w:rsidRPr="00AE1FA6" w:rsidRDefault="0026014E" w:rsidP="0026014E">
            <w:pPr>
              <w:spacing w:before="120" w:after="120"/>
              <w:jc w:val="both"/>
              <w:rPr>
                <w:rFonts w:cs="Arial"/>
                <w:sz w:val="22"/>
                <w:szCs w:val="22"/>
                <w:highlight w:val="yellow"/>
              </w:rPr>
            </w:pPr>
            <w:r w:rsidRPr="00911346">
              <w:rPr>
                <w:rFonts w:cs="Arial"/>
                <w:sz w:val="22"/>
                <w:szCs w:val="22"/>
              </w:rPr>
              <w:t xml:space="preserve">How should assets funded by third parties (Contributions in Aid of Construction, or CIAC) be treated in the valuation, should they be included </w:t>
            </w:r>
            <w:r>
              <w:rPr>
                <w:rFonts w:cs="Arial"/>
                <w:sz w:val="22"/>
                <w:szCs w:val="22"/>
              </w:rPr>
              <w:t xml:space="preserve">in the </w:t>
            </w:r>
            <w:r w:rsidRPr="00911346">
              <w:rPr>
                <w:rFonts w:cs="Arial"/>
                <w:sz w:val="22"/>
                <w:szCs w:val="22"/>
              </w:rPr>
              <w:t>RCNLD</w:t>
            </w:r>
            <w:r>
              <w:rPr>
                <w:rFonts w:cs="Arial"/>
                <w:sz w:val="22"/>
                <w:szCs w:val="22"/>
              </w:rPr>
              <w:t xml:space="preserve"> analysis,</w:t>
            </w:r>
            <w:r w:rsidRPr="00911346">
              <w:rPr>
                <w:rFonts w:cs="Arial"/>
                <w:sz w:val="22"/>
                <w:szCs w:val="22"/>
              </w:rPr>
              <w:t xml:space="preserve"> or treated differently?</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545610FF" w14:textId="70B04760" w:rsidR="0026014E" w:rsidRPr="0026014E" w:rsidRDefault="0026014E" w:rsidP="0026014E">
            <w:pPr>
              <w:spacing w:before="120" w:after="120"/>
              <w:jc w:val="both"/>
              <w:rPr>
                <w:rFonts w:cs="Arial"/>
                <w:b/>
                <w:bCs/>
                <w:color w:val="1F497D" w:themeColor="text2"/>
                <w:sz w:val="22"/>
                <w:szCs w:val="22"/>
                <w:highlight w:val="yellow"/>
              </w:rPr>
            </w:pPr>
            <w:r w:rsidRPr="0026014E">
              <w:rPr>
                <w:rFonts w:cs="Arial"/>
                <w:b/>
                <w:bCs/>
                <w:color w:val="1F497D" w:themeColor="text2"/>
                <w:sz w:val="22"/>
                <w:szCs w:val="22"/>
              </w:rPr>
              <w:t xml:space="preserve">The Department applies the cost approach in valuing utility companies. Accordingly, utility companies are required to report their property inventory at original cost, regardless of which party incurred those costs. The identity of the payer is not considered relevant for valuation purposes.    </w:t>
            </w:r>
          </w:p>
        </w:tc>
      </w:tr>
      <w:tr w:rsidR="0026014E" w:rsidRPr="00BC1DAD" w14:paraId="78115218"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2B656C2" w14:textId="77777777" w:rsidR="0026014E" w:rsidRPr="00BC1DAD" w:rsidRDefault="0026014E" w:rsidP="0026014E">
            <w:pPr>
              <w:spacing w:before="120" w:after="120"/>
              <w:jc w:val="center"/>
              <w:rPr>
                <w:rFonts w:cs="Arial"/>
                <w:sz w:val="22"/>
                <w:szCs w:val="22"/>
              </w:rPr>
            </w:pPr>
            <w:bookmarkStart w:id="42" w:name="_Hlk191899884"/>
            <w:r w:rsidRPr="00BC1DAD">
              <w:rPr>
                <w:rFonts w:cs="Arial"/>
                <w:sz w:val="22"/>
                <w:szCs w:val="22"/>
              </w:rPr>
              <w:t>2</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0DA80A8"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4986884B" w14:textId="77777777" w:rsidR="0026014E" w:rsidRPr="00272248" w:rsidRDefault="0026014E" w:rsidP="0026014E">
            <w:pPr>
              <w:spacing w:before="120" w:after="120"/>
              <w:rPr>
                <w:rFonts w:cs="Arial"/>
                <w:sz w:val="20"/>
                <w:szCs w:val="20"/>
              </w:rPr>
            </w:pPr>
            <w:r>
              <w:rPr>
                <w:rFonts w:cs="Arial"/>
                <w:sz w:val="20"/>
                <w:szCs w:val="20"/>
              </w:rPr>
              <w:t>2.1 Review Cost Data</w:t>
            </w:r>
          </w:p>
          <w:p w14:paraId="682B35ED" w14:textId="5C7C8A82" w:rsidR="0026014E" w:rsidRPr="00BC1DAD" w:rsidRDefault="0026014E" w:rsidP="0026014E">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5CC0C30D" w14:textId="0CA1F0E4" w:rsidR="0026014E" w:rsidRPr="00BC1DAD" w:rsidRDefault="0026014E" w:rsidP="0026014E">
            <w:pPr>
              <w:spacing w:before="120" w:after="120"/>
              <w:jc w:val="center"/>
              <w:rPr>
                <w:rFonts w:cs="Arial"/>
                <w:sz w:val="22"/>
                <w:szCs w:val="22"/>
              </w:rPr>
            </w:pPr>
            <w:r w:rsidRPr="00272248">
              <w:rPr>
                <w:rFonts w:cs="Arial"/>
                <w:sz w:val="22"/>
                <w:szCs w:val="22"/>
              </w:rPr>
              <w:t>1</w:t>
            </w:r>
            <w:r>
              <w:rPr>
                <w:rFonts w:cs="Arial"/>
                <w:sz w:val="22"/>
                <w:szCs w:val="22"/>
              </w:rPr>
              <w:t>1</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440BE69C" w14:textId="3BA309CF" w:rsidR="0026014E" w:rsidRPr="00AE1FA6" w:rsidRDefault="0026014E" w:rsidP="0026014E">
            <w:pPr>
              <w:spacing w:before="120" w:after="120"/>
              <w:jc w:val="both"/>
              <w:rPr>
                <w:rFonts w:cs="Arial"/>
                <w:sz w:val="22"/>
                <w:szCs w:val="22"/>
                <w:highlight w:val="yellow"/>
              </w:rPr>
            </w:pPr>
            <w:r w:rsidRPr="00AE581E">
              <w:rPr>
                <w:rFonts w:cs="Arial"/>
                <w:sz w:val="22"/>
                <w:szCs w:val="22"/>
              </w:rPr>
              <w:t>Can the Department provide an indication of the scale and structure of the original cost data to be provided, including approximate total dollar value, number of asset records</w:t>
            </w:r>
            <w:r w:rsidRPr="00260A98">
              <w:rPr>
                <w:rFonts w:cs="Arial"/>
                <w:sz w:val="22"/>
                <w:szCs w:val="22"/>
              </w:rPr>
              <w:t>, and how the data is organized and distributed by municipality</w:t>
            </w:r>
            <w:r w:rsidRPr="00AE581E">
              <w:rPr>
                <w:rFonts w:cs="Arial"/>
                <w:sz w:val="22"/>
                <w:szCs w:val="22"/>
              </w:rPr>
              <w:t>?</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2A5E207E" w14:textId="73ACD14D" w:rsidR="0026014E" w:rsidRPr="004A3E98"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The original cost data is provided by account number, municipality, install year, and whether the property is located on the public or private right-of-way. From 2024 inventory filing, there was about $21,000,000 original cost in the Highway (both taxable and non-taxable accounts) and about $58,000,00 original cost Mass Property in Private (both taxable and non-taxable) for about 2,300 asset records.</w:t>
            </w:r>
          </w:p>
        </w:tc>
      </w:tr>
      <w:bookmarkEnd w:id="42"/>
      <w:tr w:rsidR="0026014E" w:rsidRPr="00BC1DAD" w14:paraId="7C0807D8"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875822" w14:textId="77777777" w:rsidR="0026014E" w:rsidRPr="00BC1DAD" w:rsidRDefault="0026014E" w:rsidP="0026014E">
            <w:pPr>
              <w:spacing w:before="120" w:after="120"/>
              <w:jc w:val="center"/>
              <w:rPr>
                <w:rFonts w:cs="Arial"/>
                <w:sz w:val="22"/>
                <w:szCs w:val="22"/>
              </w:rPr>
            </w:pPr>
            <w:r w:rsidRPr="00BC1DAD">
              <w:rPr>
                <w:rFonts w:cs="Arial"/>
                <w:sz w:val="22"/>
                <w:szCs w:val="22"/>
              </w:rPr>
              <w:t>3</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78BC1FC4"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641B8CAD" w14:textId="77777777" w:rsidR="0026014E" w:rsidRPr="00272248" w:rsidRDefault="0026014E" w:rsidP="0026014E">
            <w:pPr>
              <w:spacing w:before="120" w:after="120"/>
              <w:rPr>
                <w:rFonts w:cs="Arial"/>
                <w:sz w:val="20"/>
                <w:szCs w:val="20"/>
              </w:rPr>
            </w:pPr>
            <w:r>
              <w:rPr>
                <w:rFonts w:cs="Arial"/>
                <w:sz w:val="20"/>
                <w:szCs w:val="20"/>
              </w:rPr>
              <w:t>2.1 Review Cost Data</w:t>
            </w:r>
          </w:p>
          <w:p w14:paraId="224CDC1B" w14:textId="6B97D9D8" w:rsidR="0026014E" w:rsidRPr="00BC1DAD" w:rsidRDefault="0026014E" w:rsidP="0026014E">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79A4C3C8" w14:textId="1E44C41C" w:rsidR="0026014E" w:rsidRPr="00BC1DAD" w:rsidRDefault="0026014E" w:rsidP="0026014E">
            <w:pPr>
              <w:spacing w:before="120" w:after="120"/>
              <w:jc w:val="center"/>
              <w:rPr>
                <w:rFonts w:cs="Arial"/>
                <w:sz w:val="22"/>
                <w:szCs w:val="22"/>
              </w:rPr>
            </w:pPr>
            <w:r w:rsidRPr="00272248">
              <w:rPr>
                <w:rFonts w:cs="Arial"/>
                <w:sz w:val="22"/>
                <w:szCs w:val="22"/>
              </w:rPr>
              <w:t>1</w:t>
            </w:r>
            <w:r>
              <w:rPr>
                <w:rFonts w:cs="Arial"/>
                <w:sz w:val="22"/>
                <w:szCs w:val="22"/>
              </w:rPr>
              <w:t>1</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7EFC3082" w14:textId="4F2436B8" w:rsidR="0026014E" w:rsidRPr="00AE1FA6" w:rsidRDefault="0026014E" w:rsidP="0026014E">
            <w:pPr>
              <w:spacing w:before="120" w:after="120"/>
              <w:jc w:val="both"/>
              <w:rPr>
                <w:rFonts w:cs="Arial"/>
                <w:sz w:val="22"/>
                <w:szCs w:val="22"/>
                <w:highlight w:val="yellow"/>
              </w:rPr>
            </w:pPr>
            <w:r w:rsidRPr="005768D8">
              <w:rPr>
                <w:rFonts w:cs="Arial"/>
                <w:sz w:val="22"/>
                <w:szCs w:val="22"/>
              </w:rPr>
              <w:t>Will the original cost data provided by the Department be available at the individual asset detail, or will it be provided in aggregated property account groupings?  If aggregated, can the Department clarify the typical level of grouping (e.g., by account, vintage year, or asset class), and whether supporting detail sufficient for depreciation, obsolescence, and net salvage analysis will be available?</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5D3DF80C" w14:textId="77777777" w:rsidR="0026014E" w:rsidRPr="0026014E" w:rsidRDefault="0026014E" w:rsidP="0026014E">
            <w:pPr>
              <w:spacing w:before="120" w:after="120"/>
              <w:jc w:val="both"/>
              <w:rPr>
                <w:rFonts w:ascii="Aptos" w:hAnsi="Aptos" w:cs="Aptos"/>
                <w:b/>
                <w:bCs/>
                <w:color w:val="1F497D" w:themeColor="text2"/>
                <w:sz w:val="22"/>
                <w:szCs w:val="22"/>
              </w:rPr>
            </w:pPr>
            <w:r w:rsidRPr="0026014E">
              <w:rPr>
                <w:rFonts w:cs="Arial"/>
                <w:b/>
                <w:bCs/>
                <w:color w:val="1F497D" w:themeColor="text2"/>
                <w:sz w:val="22"/>
                <w:szCs w:val="22"/>
              </w:rPr>
              <w:t xml:space="preserve">The original cost data will be provided in aggregated property account groupings. </w:t>
            </w:r>
            <w:r w:rsidRPr="0026014E">
              <w:rPr>
                <w:rFonts w:ascii="Aptos" w:hAnsi="Aptos" w:cs="Aptos"/>
                <w:b/>
                <w:bCs/>
                <w:color w:val="1F497D" w:themeColor="text2"/>
                <w:sz w:val="22"/>
                <w:szCs w:val="22"/>
              </w:rPr>
              <w:t xml:space="preserve"> </w:t>
            </w:r>
          </w:p>
          <w:p w14:paraId="2BDDEE34" w14:textId="2D61C372" w:rsidR="0026014E" w:rsidRPr="0026014E" w:rsidRDefault="0026014E" w:rsidP="0026014E">
            <w:pPr>
              <w:spacing w:before="120" w:after="120"/>
              <w:jc w:val="both"/>
              <w:rPr>
                <w:rFonts w:cs="Arial"/>
                <w:b/>
                <w:bCs/>
                <w:color w:val="1F497D" w:themeColor="text2"/>
                <w:sz w:val="22"/>
                <w:szCs w:val="22"/>
                <w:highlight w:val="yellow"/>
              </w:rPr>
            </w:pPr>
            <w:r w:rsidRPr="0026014E">
              <w:rPr>
                <w:rFonts w:cs="Arial"/>
                <w:b/>
                <w:bCs/>
                <w:color w:val="1F497D" w:themeColor="text2"/>
                <w:sz w:val="22"/>
                <w:szCs w:val="22"/>
              </w:rPr>
              <w:t xml:space="preserve">The Department can specify municipality / account number / Vintage year / cost incurred by, and obsolescence requests submitted by the company. </w:t>
            </w:r>
          </w:p>
        </w:tc>
      </w:tr>
      <w:tr w:rsidR="0026014E" w:rsidRPr="00BC1DAD" w14:paraId="138BF096"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5B21EA32" w14:textId="77777777" w:rsidR="0026014E" w:rsidRPr="00BC1DAD" w:rsidRDefault="0026014E" w:rsidP="0026014E">
            <w:pPr>
              <w:spacing w:before="120" w:after="120"/>
              <w:jc w:val="center"/>
              <w:rPr>
                <w:rFonts w:cs="Arial"/>
                <w:sz w:val="22"/>
                <w:szCs w:val="22"/>
              </w:rPr>
            </w:pPr>
            <w:r w:rsidRPr="00BC1DAD">
              <w:rPr>
                <w:rFonts w:cs="Arial"/>
                <w:sz w:val="22"/>
                <w:szCs w:val="22"/>
              </w:rPr>
              <w:lastRenderedPageBreak/>
              <w:t>4</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B5414CC"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23AEBBCA" w14:textId="77777777" w:rsidR="0026014E" w:rsidRPr="00272248" w:rsidRDefault="0026014E" w:rsidP="0026014E">
            <w:pPr>
              <w:spacing w:before="120" w:after="120"/>
              <w:rPr>
                <w:rFonts w:cs="Arial"/>
                <w:sz w:val="20"/>
                <w:szCs w:val="20"/>
              </w:rPr>
            </w:pPr>
            <w:r>
              <w:rPr>
                <w:rFonts w:cs="Arial"/>
                <w:sz w:val="20"/>
                <w:szCs w:val="20"/>
              </w:rPr>
              <w:t>2.1 Review Cost Data</w:t>
            </w:r>
          </w:p>
          <w:p w14:paraId="3F225C67" w14:textId="63320444" w:rsidR="0026014E" w:rsidRPr="00BC1DAD" w:rsidRDefault="0026014E" w:rsidP="0026014E">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43FA5E6" w14:textId="66A57464" w:rsidR="0026014E" w:rsidRPr="00BC1DAD" w:rsidRDefault="0026014E" w:rsidP="0026014E">
            <w:pPr>
              <w:spacing w:before="120" w:after="120"/>
              <w:jc w:val="center"/>
              <w:rPr>
                <w:rFonts w:cs="Arial"/>
                <w:sz w:val="22"/>
                <w:szCs w:val="22"/>
              </w:rPr>
            </w:pPr>
            <w:r w:rsidRPr="00272248">
              <w:rPr>
                <w:rFonts w:cs="Arial"/>
                <w:sz w:val="22"/>
                <w:szCs w:val="22"/>
              </w:rPr>
              <w:t>1</w:t>
            </w:r>
            <w:r>
              <w:rPr>
                <w:rFonts w:cs="Arial"/>
                <w:sz w:val="22"/>
                <w:szCs w:val="22"/>
              </w:rPr>
              <w:t>1</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0C86CC1D" w14:textId="746F0362" w:rsidR="0026014E" w:rsidRPr="00AE1FA6" w:rsidRDefault="0026014E" w:rsidP="0026014E">
            <w:pPr>
              <w:spacing w:before="120" w:after="120"/>
              <w:jc w:val="both"/>
              <w:rPr>
                <w:rFonts w:cs="Arial"/>
                <w:sz w:val="22"/>
                <w:szCs w:val="22"/>
                <w:highlight w:val="yellow"/>
              </w:rPr>
            </w:pPr>
            <w:r w:rsidRPr="00ED1235">
              <w:rPr>
                <w:rFonts w:cs="Arial"/>
                <w:sz w:val="22"/>
                <w:szCs w:val="22"/>
              </w:rPr>
              <w:t>Will the Department provide supporting records such as Continuing Property Records (CPRs), GIS data, network maps, or engineering diagrams in addition to the original cost data?</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2CFD7C07" w14:textId="1A93B326" w:rsidR="0026014E" w:rsidRPr="0026014E" w:rsidRDefault="0026014E" w:rsidP="0026014E">
            <w:pPr>
              <w:spacing w:before="120" w:after="120"/>
              <w:jc w:val="both"/>
              <w:rPr>
                <w:rFonts w:cs="Arial"/>
                <w:b/>
                <w:bCs/>
                <w:color w:val="1F497D" w:themeColor="text2"/>
                <w:sz w:val="22"/>
                <w:szCs w:val="22"/>
                <w:highlight w:val="yellow"/>
              </w:rPr>
            </w:pPr>
            <w:r w:rsidRPr="0026014E">
              <w:rPr>
                <w:rFonts w:cs="Arial"/>
                <w:b/>
                <w:bCs/>
                <w:color w:val="1F497D" w:themeColor="text2"/>
                <w:sz w:val="22"/>
                <w:szCs w:val="22"/>
              </w:rPr>
              <w:t xml:space="preserve">This information will not be provided by the Department. </w:t>
            </w:r>
          </w:p>
        </w:tc>
      </w:tr>
      <w:tr w:rsidR="0026014E" w:rsidRPr="00BC1DAD" w14:paraId="18CAE745"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8FDB8F3" w14:textId="602508BD" w:rsidR="0026014E" w:rsidRPr="00BC1DAD" w:rsidRDefault="0026014E" w:rsidP="0026014E">
            <w:pPr>
              <w:spacing w:before="120" w:after="120"/>
              <w:jc w:val="center"/>
              <w:rPr>
                <w:rFonts w:cs="Arial"/>
                <w:sz w:val="22"/>
                <w:szCs w:val="22"/>
              </w:rPr>
            </w:pPr>
            <w:r>
              <w:rPr>
                <w:rFonts w:cs="Arial"/>
                <w:sz w:val="22"/>
                <w:szCs w:val="22"/>
              </w:rPr>
              <w:t>5</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61E1B0D9"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2A4A648D" w14:textId="77777777" w:rsidR="0026014E" w:rsidRPr="00272248" w:rsidRDefault="0026014E" w:rsidP="0026014E">
            <w:pPr>
              <w:spacing w:before="120" w:after="120"/>
              <w:rPr>
                <w:rFonts w:cs="Arial"/>
                <w:sz w:val="20"/>
                <w:szCs w:val="20"/>
              </w:rPr>
            </w:pPr>
            <w:r>
              <w:rPr>
                <w:rFonts w:cs="Arial"/>
                <w:sz w:val="20"/>
                <w:szCs w:val="20"/>
              </w:rPr>
              <w:t>2.1 Review Cost Data</w:t>
            </w:r>
          </w:p>
          <w:p w14:paraId="48AD1812" w14:textId="77777777" w:rsidR="0026014E" w:rsidRPr="00CD6EAD" w:rsidRDefault="0026014E" w:rsidP="0026014E">
            <w:pPr>
              <w:spacing w:before="120" w:after="120"/>
              <w:rPr>
                <w:rFonts w:cs="Arial"/>
                <w:b/>
                <w:bCs/>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3381438E" w14:textId="36F37F5C" w:rsidR="0026014E" w:rsidRDefault="0026014E" w:rsidP="0026014E">
            <w:pPr>
              <w:spacing w:before="120" w:after="120"/>
              <w:jc w:val="center"/>
              <w:rPr>
                <w:rFonts w:cs="Arial"/>
                <w:sz w:val="22"/>
                <w:szCs w:val="22"/>
              </w:rPr>
            </w:pPr>
            <w:r>
              <w:rPr>
                <w:rFonts w:cs="Arial"/>
                <w:sz w:val="22"/>
                <w:szCs w:val="22"/>
              </w:rPr>
              <w:t>11</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01097056" w14:textId="03004866" w:rsidR="0026014E" w:rsidRPr="00AE1FA6" w:rsidRDefault="0026014E" w:rsidP="0026014E">
            <w:pPr>
              <w:spacing w:before="120" w:after="120"/>
              <w:jc w:val="both"/>
              <w:rPr>
                <w:rFonts w:cs="Arial"/>
                <w:sz w:val="22"/>
                <w:szCs w:val="22"/>
                <w:highlight w:val="yellow"/>
              </w:rPr>
            </w:pPr>
            <w:r w:rsidRPr="00C5249E">
              <w:rPr>
                <w:rFonts w:cs="Arial"/>
                <w:sz w:val="22"/>
                <w:szCs w:val="22"/>
              </w:rPr>
              <w:t xml:space="preserve">Will the Department’s original cost data identify the municipality associated with each cost record or account grouping, such that </w:t>
            </w:r>
            <w:r>
              <w:rPr>
                <w:rFonts w:cs="Arial"/>
                <w:sz w:val="22"/>
                <w:szCs w:val="22"/>
              </w:rPr>
              <w:t xml:space="preserve">the </w:t>
            </w:r>
            <w:r w:rsidRPr="00C5249E">
              <w:rPr>
                <w:rFonts w:cs="Arial"/>
                <w:sz w:val="22"/>
                <w:szCs w:val="22"/>
              </w:rPr>
              <w:t>property can be directly valued by assessing unit?</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62274D3C" w14:textId="2E26C9AC" w:rsidR="0026014E" w:rsidRPr="0026014E" w:rsidRDefault="0026014E" w:rsidP="0026014E">
            <w:pPr>
              <w:spacing w:before="120" w:after="120"/>
              <w:jc w:val="both"/>
              <w:rPr>
                <w:rFonts w:cs="Arial"/>
                <w:b/>
                <w:bCs/>
                <w:color w:val="1F497D" w:themeColor="text2"/>
                <w:sz w:val="22"/>
                <w:szCs w:val="22"/>
                <w:highlight w:val="yellow"/>
              </w:rPr>
            </w:pPr>
            <w:r w:rsidRPr="0026014E">
              <w:rPr>
                <w:rFonts w:cs="Arial"/>
                <w:b/>
                <w:bCs/>
                <w:color w:val="1F497D" w:themeColor="text2"/>
                <w:sz w:val="22"/>
                <w:szCs w:val="22"/>
              </w:rPr>
              <w:t>Yes, the original cost data will identify the municipality associated with each cost record and/or account grouping.</w:t>
            </w:r>
          </w:p>
        </w:tc>
      </w:tr>
      <w:tr w:rsidR="0026014E" w:rsidRPr="00BC1DAD" w14:paraId="0FB3ED8A"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3B16F34C" w14:textId="07CD1F98" w:rsidR="0026014E" w:rsidRPr="00BC1DAD" w:rsidRDefault="0026014E" w:rsidP="0026014E">
            <w:pPr>
              <w:spacing w:before="120" w:after="120"/>
              <w:jc w:val="center"/>
              <w:rPr>
                <w:rFonts w:cs="Arial"/>
                <w:sz w:val="22"/>
                <w:szCs w:val="22"/>
              </w:rPr>
            </w:pPr>
            <w:r>
              <w:rPr>
                <w:rFonts w:cs="Arial"/>
                <w:sz w:val="22"/>
                <w:szCs w:val="22"/>
              </w:rPr>
              <w:t>6</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CE615FF"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61E6A02B" w14:textId="77777777" w:rsidR="0026014E" w:rsidRPr="00272248" w:rsidRDefault="0026014E" w:rsidP="0026014E">
            <w:pPr>
              <w:spacing w:before="120" w:after="120"/>
              <w:rPr>
                <w:rFonts w:cs="Arial"/>
                <w:sz w:val="20"/>
                <w:szCs w:val="20"/>
              </w:rPr>
            </w:pPr>
            <w:r>
              <w:rPr>
                <w:rFonts w:cs="Arial"/>
                <w:sz w:val="20"/>
                <w:szCs w:val="20"/>
              </w:rPr>
              <w:t>2.8 Milestones</w:t>
            </w:r>
          </w:p>
          <w:p w14:paraId="7A806B0B" w14:textId="77777777" w:rsidR="0026014E" w:rsidRPr="00CD6EAD" w:rsidRDefault="0026014E" w:rsidP="0026014E">
            <w:pPr>
              <w:spacing w:before="120" w:after="120"/>
              <w:rPr>
                <w:rFonts w:cs="Arial"/>
                <w:b/>
                <w:bCs/>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B978D4B" w14:textId="1D980E8F" w:rsidR="0026014E" w:rsidRDefault="0026014E" w:rsidP="0026014E">
            <w:pPr>
              <w:spacing w:before="120" w:after="120"/>
              <w:jc w:val="center"/>
              <w:rPr>
                <w:rFonts w:cs="Arial"/>
                <w:sz w:val="22"/>
                <w:szCs w:val="22"/>
              </w:rPr>
            </w:pPr>
            <w:r>
              <w:rPr>
                <w:rFonts w:cs="Arial"/>
                <w:sz w:val="22"/>
                <w:szCs w:val="22"/>
              </w:rPr>
              <w:t>13-14</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7014394E" w14:textId="52EBE337" w:rsidR="0026014E" w:rsidRPr="00AE1FA6" w:rsidRDefault="0026014E" w:rsidP="0026014E">
            <w:pPr>
              <w:spacing w:before="120" w:after="120"/>
              <w:jc w:val="both"/>
              <w:rPr>
                <w:rFonts w:cs="Arial"/>
                <w:sz w:val="22"/>
                <w:szCs w:val="22"/>
                <w:highlight w:val="yellow"/>
              </w:rPr>
            </w:pPr>
            <w:r w:rsidRPr="00442358">
              <w:rPr>
                <w:rFonts w:cs="Arial"/>
                <w:sz w:val="22"/>
                <w:szCs w:val="22"/>
              </w:rPr>
              <w:t xml:space="preserve">Are “intangible values” expected to be included in the </w:t>
            </w:r>
            <w:r>
              <w:rPr>
                <w:rFonts w:cs="Arial"/>
                <w:sz w:val="22"/>
                <w:szCs w:val="22"/>
              </w:rPr>
              <w:t>appraised</w:t>
            </w:r>
            <w:r w:rsidRPr="00442358">
              <w:rPr>
                <w:rFonts w:cs="Arial"/>
                <w:sz w:val="22"/>
                <w:szCs w:val="22"/>
              </w:rPr>
              <w:t xml:space="preserve"> value</w:t>
            </w:r>
            <w:r>
              <w:rPr>
                <w:rFonts w:cs="Arial"/>
                <w:sz w:val="22"/>
                <w:szCs w:val="22"/>
              </w:rPr>
              <w:t xml:space="preserve"> conclusions</w:t>
            </w:r>
            <w:r w:rsidRPr="00442358">
              <w:rPr>
                <w:rFonts w:cs="Arial"/>
                <w:sz w:val="22"/>
                <w:szCs w:val="22"/>
              </w:rPr>
              <w:t>, and what specific items or components are considered “intangible values” for purposes of this assignment?</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2113960A" w14:textId="77777777" w:rsidR="0026014E" w:rsidRPr="0026014E"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 xml:space="preserve">The intangible value is expected to be included in the appraised value conclusion. The intangible value deems to be the usage of the public right-of-way and is valued at five percent of the RCNLD of the tangible physical property. Five percent of the RCNLD of physical property has historically been considered a reasonable estimate of the intangible value. The calculation of the intangible value of the special franchise is outlined in the Procedures of the Office of Real Property Tax Services and has been accepted by the courts in the past. </w:t>
            </w:r>
          </w:p>
          <w:p w14:paraId="1979B266" w14:textId="77777777" w:rsidR="0026014E"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The Procedures can be found at</w:t>
            </w:r>
            <w:r w:rsidRPr="0026014E">
              <w:rPr>
                <w:rFonts w:cs="Arial"/>
                <w:b/>
                <w:bCs/>
                <w:color w:val="1F497D" w:themeColor="text2"/>
                <w:sz w:val="22"/>
                <w:szCs w:val="22"/>
                <w:highlight w:val="yellow"/>
              </w:rPr>
              <w:t xml:space="preserve"> </w:t>
            </w:r>
            <w:hyperlink r:id="rId13" w:history="1">
              <w:r w:rsidRPr="00FF624E">
                <w:rPr>
                  <w:rStyle w:val="Hyperlink"/>
                  <w:rFonts w:cs="Arial"/>
                  <w:b/>
                  <w:bCs/>
                  <w:sz w:val="22"/>
                  <w:szCs w:val="22"/>
                </w:rPr>
                <w:t>https://www.tax.ny.gov/research/property/legal/procedures/index.htm</w:t>
              </w:r>
            </w:hyperlink>
            <w:r>
              <w:rPr>
                <w:rFonts w:cs="Arial"/>
                <w:b/>
                <w:bCs/>
                <w:color w:val="1F497D" w:themeColor="text2"/>
                <w:sz w:val="22"/>
                <w:szCs w:val="22"/>
              </w:rPr>
              <w:t xml:space="preserve">. </w:t>
            </w:r>
          </w:p>
          <w:p w14:paraId="52E754FA" w14:textId="2D086293" w:rsidR="0026014E" w:rsidRPr="0026014E" w:rsidRDefault="0026014E" w:rsidP="0026014E">
            <w:pPr>
              <w:spacing w:before="120" w:after="120"/>
              <w:jc w:val="both"/>
              <w:rPr>
                <w:rFonts w:cs="Arial"/>
                <w:b/>
                <w:bCs/>
                <w:color w:val="1F497D" w:themeColor="text2"/>
                <w:sz w:val="22"/>
                <w:szCs w:val="22"/>
                <w:highlight w:val="yellow"/>
              </w:rPr>
            </w:pPr>
          </w:p>
        </w:tc>
      </w:tr>
      <w:tr w:rsidR="0026014E" w:rsidRPr="00BC1DAD" w14:paraId="17E25008" w14:textId="77777777" w:rsidTr="00941155">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04AC7E22" w14:textId="685FC7AB" w:rsidR="0026014E" w:rsidRPr="00BC1DAD" w:rsidRDefault="0026014E" w:rsidP="0026014E">
            <w:pPr>
              <w:spacing w:before="120" w:after="120"/>
              <w:jc w:val="center"/>
              <w:rPr>
                <w:rFonts w:cs="Arial"/>
                <w:sz w:val="22"/>
                <w:szCs w:val="22"/>
              </w:rPr>
            </w:pPr>
            <w:r>
              <w:rPr>
                <w:rFonts w:cs="Arial"/>
                <w:sz w:val="22"/>
                <w:szCs w:val="22"/>
              </w:rPr>
              <w:lastRenderedPageBreak/>
              <w:t>7</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E78A094"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686F9E43" w14:textId="34B52150" w:rsidR="0026014E" w:rsidRPr="00CD6EAD" w:rsidRDefault="0026014E" w:rsidP="0026014E">
            <w:pPr>
              <w:spacing w:before="120" w:after="120"/>
              <w:rPr>
                <w:rFonts w:cs="Arial"/>
                <w:b/>
                <w:bCs/>
                <w:sz w:val="20"/>
                <w:szCs w:val="20"/>
              </w:rPr>
            </w:pPr>
            <w:r>
              <w:rPr>
                <w:rFonts w:cs="Arial"/>
                <w:sz w:val="20"/>
                <w:szCs w:val="20"/>
              </w:rPr>
              <w:t>2.9 Subcontracting – Civil Engineer</w:t>
            </w: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1D176E39" w14:textId="4631627E" w:rsidR="0026014E" w:rsidRDefault="0026014E" w:rsidP="0026014E">
            <w:pPr>
              <w:spacing w:before="120" w:after="120"/>
              <w:jc w:val="center"/>
              <w:rPr>
                <w:rFonts w:cs="Arial"/>
                <w:sz w:val="22"/>
                <w:szCs w:val="22"/>
              </w:rPr>
            </w:pPr>
            <w:r>
              <w:rPr>
                <w:rFonts w:cs="Arial"/>
                <w:sz w:val="22"/>
                <w:szCs w:val="22"/>
              </w:rPr>
              <w:t>14-15</w:t>
            </w:r>
          </w:p>
        </w:tc>
        <w:tc>
          <w:tcPr>
            <w:tcW w:w="1791" w:type="pct"/>
            <w:tcBorders>
              <w:top w:val="single" w:sz="8" w:space="0" w:color="000000"/>
              <w:left w:val="single" w:sz="8" w:space="0" w:color="000000"/>
              <w:bottom w:val="single" w:sz="8" w:space="0" w:color="000000"/>
              <w:right w:val="single" w:sz="8" w:space="0" w:color="000000"/>
            </w:tcBorders>
            <w:shd w:val="clear" w:color="auto" w:fill="auto"/>
          </w:tcPr>
          <w:p w14:paraId="26EC3A2E" w14:textId="5AD855C2" w:rsidR="0026014E" w:rsidRPr="00AE1FA6" w:rsidRDefault="0026014E" w:rsidP="0026014E">
            <w:pPr>
              <w:spacing w:before="120" w:after="120"/>
              <w:jc w:val="both"/>
              <w:rPr>
                <w:rFonts w:cs="Arial"/>
                <w:sz w:val="22"/>
                <w:szCs w:val="22"/>
                <w:highlight w:val="yellow"/>
              </w:rPr>
            </w:pPr>
            <w:r w:rsidRPr="009F3A3F">
              <w:rPr>
                <w:rFonts w:cs="Arial"/>
                <w:sz w:val="22"/>
                <w:szCs w:val="22"/>
              </w:rPr>
              <w:t>Has the Department received inquiries from NYS-certified MWBE civil engineering firms regarding participation in this engagement, and can the Department identify any such firms?</w:t>
            </w:r>
          </w:p>
        </w:tc>
        <w:tc>
          <w:tcPr>
            <w:tcW w:w="2161" w:type="pct"/>
            <w:tcBorders>
              <w:top w:val="single" w:sz="8" w:space="0" w:color="000000"/>
              <w:left w:val="single" w:sz="8" w:space="0" w:color="000000"/>
              <w:bottom w:val="single" w:sz="8" w:space="0" w:color="000000"/>
              <w:right w:val="single" w:sz="8" w:space="0" w:color="000000"/>
            </w:tcBorders>
            <w:shd w:val="clear" w:color="auto" w:fill="auto"/>
          </w:tcPr>
          <w:p w14:paraId="5C970D2F" w14:textId="6F589F07" w:rsidR="0026014E" w:rsidRPr="0026014E"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The Department has not received inquiries from NYS-certified MWBE civil engineering firms regarding participation in this engagement. Bidders are encouraged to review</w:t>
            </w:r>
            <w:r>
              <w:rPr>
                <w:rFonts w:cs="Arial"/>
                <w:b/>
                <w:bCs/>
                <w:color w:val="1F497D" w:themeColor="text2"/>
                <w:sz w:val="22"/>
                <w:szCs w:val="22"/>
              </w:rPr>
              <w:t xml:space="preserve"> </w:t>
            </w:r>
            <w:r w:rsidRPr="0026014E">
              <w:rPr>
                <w:rFonts w:cs="Arial"/>
                <w:b/>
                <w:bCs/>
                <w:color w:val="1F497D" w:themeColor="text2"/>
                <w:sz w:val="22"/>
                <w:szCs w:val="22"/>
              </w:rPr>
              <w:t xml:space="preserve">the NYS Certified MWBE Directory at </w:t>
            </w:r>
            <w:hyperlink r:id="rId14" w:history="1">
              <w:r w:rsidRPr="00FF624E">
                <w:rPr>
                  <w:rStyle w:val="Hyperlink"/>
                  <w:rFonts w:cs="Arial"/>
                  <w:b/>
                  <w:bCs/>
                  <w:sz w:val="22"/>
                  <w:szCs w:val="22"/>
                </w:rPr>
                <w:t>https://ny.newnycontracts.com/FrontEnd/searchcertifieddirectory.asp</w:t>
              </w:r>
            </w:hyperlink>
            <w:r>
              <w:rPr>
                <w:rFonts w:cs="Arial"/>
                <w:b/>
                <w:bCs/>
                <w:color w:val="1F497D" w:themeColor="text2"/>
                <w:sz w:val="22"/>
                <w:szCs w:val="22"/>
              </w:rPr>
              <w:t xml:space="preserve"> </w:t>
            </w:r>
            <w:r w:rsidRPr="0026014E">
              <w:rPr>
                <w:rFonts w:cs="Arial"/>
                <w:b/>
                <w:bCs/>
                <w:color w:val="1F497D" w:themeColor="text2"/>
                <w:sz w:val="22"/>
                <w:szCs w:val="22"/>
              </w:rPr>
              <w:t>and reach out to potential subcontractors.</w:t>
            </w:r>
          </w:p>
          <w:p w14:paraId="29E1A5EF" w14:textId="77777777" w:rsidR="0026014E" w:rsidRPr="0026014E"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To assist in outreach, the Department has included an Excel Spreadsheet listing 137 MWBE certified businesses in civil engineering classifications from the NYS certified MWBE directory as of 05/07/2026.</w:t>
            </w:r>
          </w:p>
          <w:p w14:paraId="600A1EDE" w14:textId="77777777" w:rsidR="0026014E" w:rsidRDefault="0026014E" w:rsidP="0026014E">
            <w:pPr>
              <w:spacing w:before="120" w:after="120"/>
              <w:jc w:val="both"/>
              <w:rPr>
                <w:rFonts w:cs="Arial"/>
                <w:b/>
                <w:bCs/>
                <w:color w:val="1F497D" w:themeColor="text2"/>
                <w:sz w:val="22"/>
                <w:szCs w:val="22"/>
              </w:rPr>
            </w:pPr>
            <w:r w:rsidRPr="0026014E">
              <w:rPr>
                <w:rFonts w:cs="Arial"/>
                <w:b/>
                <w:bCs/>
                <w:color w:val="1F497D" w:themeColor="text2"/>
                <w:sz w:val="22"/>
                <w:szCs w:val="22"/>
              </w:rPr>
              <w:t xml:space="preserve">In a recent contract for similar services, a certified MWBE firm BVF </w:t>
            </w:r>
            <w:proofErr w:type="gramStart"/>
            <w:r w:rsidRPr="0026014E">
              <w:rPr>
                <w:rFonts w:cs="Arial"/>
                <w:b/>
                <w:bCs/>
                <w:color w:val="1F497D" w:themeColor="text2"/>
                <w:sz w:val="22"/>
                <w:szCs w:val="22"/>
              </w:rPr>
              <w:t>Engineering,</w:t>
            </w:r>
            <w:proofErr w:type="gramEnd"/>
            <w:r w:rsidRPr="0026014E">
              <w:rPr>
                <w:rFonts w:cs="Arial"/>
                <w:b/>
                <w:bCs/>
                <w:color w:val="1F497D" w:themeColor="text2"/>
                <w:sz w:val="22"/>
                <w:szCs w:val="22"/>
              </w:rPr>
              <w:t xml:space="preserve"> Inc. was identified as a subcontractor.</w:t>
            </w:r>
          </w:p>
          <w:p w14:paraId="4F80B666" w14:textId="50A77DD7" w:rsidR="0026014E" w:rsidRPr="0026014E" w:rsidRDefault="0026014E" w:rsidP="0026014E">
            <w:pPr>
              <w:spacing w:before="120" w:after="120"/>
              <w:jc w:val="both"/>
              <w:rPr>
                <w:rFonts w:cs="Arial"/>
                <w:b/>
                <w:bCs/>
                <w:color w:val="1F497D" w:themeColor="text2"/>
                <w:sz w:val="22"/>
                <w:szCs w:val="22"/>
                <w:highlight w:val="yellow"/>
              </w:rPr>
            </w:pPr>
          </w:p>
        </w:tc>
      </w:tr>
      <w:bookmarkEnd w:id="41"/>
    </w:tbl>
    <w:p w14:paraId="226CA1BE" w14:textId="77777777" w:rsidR="00D240D9" w:rsidRDefault="00D240D9" w:rsidP="002D290A">
      <w:pPr>
        <w:spacing w:before="240" w:after="240"/>
        <w:rPr>
          <w:rFonts w:cs="Arial"/>
          <w:sz w:val="22"/>
          <w:szCs w:val="22"/>
        </w:rPr>
      </w:pPr>
    </w:p>
    <w:sectPr w:rsidR="00D240D9" w:rsidSect="004F63AB">
      <w:footerReference w:type="default" r:id="rId15"/>
      <w:type w:val="continuous"/>
      <w:pgSz w:w="15840" w:h="12240" w:orient="landscape"/>
      <w:pgMar w:top="720" w:right="288" w:bottom="720" w:left="28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E0B6" w14:textId="77777777" w:rsidR="00DC06B6" w:rsidRDefault="00DC06B6" w:rsidP="008B0D31">
      <w:r>
        <w:separator/>
      </w:r>
    </w:p>
  </w:endnote>
  <w:endnote w:type="continuationSeparator" w:id="0">
    <w:p w14:paraId="19AEE7BE" w14:textId="77777777" w:rsidR="00DC06B6" w:rsidRDefault="00DC06B6"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Candara"/>
    <w:panose1 w:val="00000000000000000000"/>
    <w:charset w:val="00"/>
    <w:family w:val="modern"/>
    <w:notTrueType/>
    <w:pitch w:val="variable"/>
    <w:sig w:usb0="00000001" w:usb1="5000E0F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956CA7"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4707"/>
      <w:docPartObj>
        <w:docPartGallery w:val="Page Numbers (Top of Page)"/>
        <w:docPartUnique/>
      </w:docPartObj>
    </w:sdtPr>
    <w:sdtEndPr/>
    <w:sdtContent>
      <w:sdt>
        <w:sdtPr>
          <w:id w:val="2137513798"/>
          <w:docPartObj>
            <w:docPartGallery w:val="Page Numbers (Bottom of Page)"/>
            <w:docPartUnique/>
          </w:docPartObj>
        </w:sdtPr>
        <w:sdtEndPr/>
        <w:sdtContent>
          <w:sdt>
            <w:sdtPr>
              <w:id w:val="-354734578"/>
              <w:docPartObj>
                <w:docPartGallery w:val="Page Numbers (Top of Page)"/>
                <w:docPartUnique/>
              </w:docPartObj>
            </w:sdtPr>
            <w:sdtEndPr/>
            <w:sdtContent>
              <w:p w14:paraId="184F1649" w14:textId="77777777" w:rsidR="00897F46" w:rsidRDefault="00897F46" w:rsidP="00897F46">
                <w:pPr>
                  <w:spacing w:before="200"/>
                  <w:jc w:val="right"/>
                </w:pPr>
              </w:p>
              <w:tbl>
                <w:tblPr>
                  <w:tblStyle w:val="TableGrid"/>
                  <w:tblW w:w="10890" w:type="dxa"/>
                  <w:tblInd w:w="-635" w:type="dxa"/>
                  <w:tblLook w:val="04A0" w:firstRow="1" w:lastRow="0" w:firstColumn="1" w:lastColumn="0" w:noHBand="0" w:noVBand="1"/>
                </w:tblPr>
                <w:tblGrid>
                  <w:gridCol w:w="10890"/>
                </w:tblGrid>
                <w:tr w:rsidR="00897F46" w14:paraId="59291B9C" w14:textId="77777777" w:rsidTr="008F69A9">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2D16A79E" w14:textId="77777777" w:rsidR="00897F46" w:rsidRPr="00E24A82" w:rsidRDefault="00897F46" w:rsidP="00897F46">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191506E4" w14:textId="77777777" w:rsidR="00897F46" w:rsidRDefault="00956CA7" w:rsidP="00897F46"/>
            </w:sdtContent>
          </w:sdt>
        </w:sdtContent>
      </w:sdt>
      <w:p w14:paraId="3FE0FBA5" w14:textId="0C984636" w:rsidR="00093C4F" w:rsidRDefault="00956CA7" w:rsidP="00897F46">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7724" w14:textId="77777777" w:rsidR="00AE1FA6" w:rsidRDefault="00AE1FA6" w:rsidP="00AE1FA6">
    <w:pPr>
      <w:pStyle w:val="Footer"/>
      <w:jc w:val="right"/>
      <w:rPr>
        <w:rFonts w:cs="Arial"/>
      </w:rPr>
    </w:pPr>
    <w:r w:rsidRPr="00855663">
      <w:rPr>
        <w:rFonts w:cs="Arial"/>
      </w:rPr>
      <w:t>RFP 2</w:t>
    </w:r>
    <w:r>
      <w:rPr>
        <w:rFonts w:cs="Arial"/>
      </w:rPr>
      <w:t>6</w:t>
    </w:r>
    <w:r w:rsidRPr="00855663">
      <w:rPr>
        <w:rFonts w:cs="Arial"/>
      </w:rPr>
      <w:t>-100 Real Property Appraisal Services</w:t>
    </w:r>
    <w:r>
      <w:rPr>
        <w:rFonts w:cs="Arial"/>
      </w:rPr>
      <w:t xml:space="preserve"> </w:t>
    </w:r>
    <w:r w:rsidRPr="00AE1FA6">
      <w:rPr>
        <w:rFonts w:cs="Arial"/>
      </w:rPr>
      <w:t xml:space="preserve">– Special </w:t>
    </w:r>
  </w:p>
  <w:p w14:paraId="79525A38" w14:textId="77777777" w:rsidR="00AE1FA6" w:rsidRDefault="00AE1FA6" w:rsidP="00AE1FA6">
    <w:pPr>
      <w:pStyle w:val="Footer"/>
      <w:jc w:val="right"/>
      <w:rPr>
        <w:rFonts w:cs="Arial"/>
      </w:rPr>
    </w:pPr>
    <w:r w:rsidRPr="00AE1FA6">
      <w:rPr>
        <w:rFonts w:cs="Arial"/>
      </w:rPr>
      <w:t xml:space="preserve">Franchise Properties and Telecommunications </w:t>
    </w:r>
  </w:p>
  <w:p w14:paraId="4954C06D" w14:textId="4A77A8B4" w:rsidR="00897F46" w:rsidRDefault="00AE1FA6" w:rsidP="00AE1FA6">
    <w:pPr>
      <w:pStyle w:val="Footer"/>
      <w:jc w:val="right"/>
    </w:pPr>
    <w:r w:rsidRPr="00AE1FA6">
      <w:rPr>
        <w:rFonts w:cs="Arial"/>
      </w:rPr>
      <w:t>Assessment Ceiling Properties</w:t>
    </w:r>
    <w:r>
      <w:rPr>
        <w:rFonts w:cs="Arial"/>
      </w:rPr>
      <w:t xml:space="preserve"> </w:t>
    </w:r>
    <w:r w:rsidR="00897F46" w:rsidRPr="00855663">
      <w:rPr>
        <w:rFonts w:cs="Arial"/>
      </w:rPr>
      <w:t xml:space="preserve">| </w:t>
    </w:r>
    <w:sdt>
      <w:sdtPr>
        <w:id w:val="1442955377"/>
        <w:docPartObj>
          <w:docPartGallery w:val="Page Numbers (Bottom of Page)"/>
          <w:docPartUnique/>
        </w:docPartObj>
      </w:sdtPr>
      <w:sdtEndPr/>
      <w:sdtContent>
        <w:sdt>
          <w:sdtPr>
            <w:id w:val="-1130709303"/>
            <w:docPartObj>
              <w:docPartGallery w:val="Page Numbers (Top of Page)"/>
              <w:docPartUnique/>
            </w:docPartObj>
          </w:sdtPr>
          <w:sdtEndPr/>
          <w:sdtContent>
            <w:r w:rsidR="00897F46">
              <w:t xml:space="preserve">Page </w:t>
            </w:r>
            <w:r w:rsidR="00897F46">
              <w:rPr>
                <w:b/>
                <w:bCs/>
              </w:rPr>
              <w:fldChar w:fldCharType="begin"/>
            </w:r>
            <w:r w:rsidR="00897F46">
              <w:rPr>
                <w:b/>
                <w:bCs/>
              </w:rPr>
              <w:instrText xml:space="preserve"> PAGE </w:instrText>
            </w:r>
            <w:r w:rsidR="00897F46">
              <w:rPr>
                <w:b/>
                <w:bCs/>
              </w:rPr>
              <w:fldChar w:fldCharType="separate"/>
            </w:r>
            <w:r w:rsidR="00897F46">
              <w:rPr>
                <w:b/>
                <w:bCs/>
              </w:rPr>
              <w:t>1</w:t>
            </w:r>
            <w:r w:rsidR="00897F46">
              <w:rPr>
                <w:b/>
                <w:bCs/>
              </w:rPr>
              <w:fldChar w:fldCharType="end"/>
            </w:r>
          </w:sdtContent>
        </w:sdt>
      </w:sdtContent>
    </w:sdt>
  </w:p>
  <w:p w14:paraId="5366F67B" w14:textId="77777777" w:rsidR="00897F46" w:rsidRDefault="00897F46" w:rsidP="00897F46">
    <w:pPr>
      <w:jc w:val="right"/>
    </w:pPr>
    <w:r>
      <w:rPr>
        <w:b/>
        <w:bCs/>
      </w:rPr>
      <w:t>Questions and Answers</w:t>
    </w:r>
  </w:p>
  <w:p w14:paraId="33211816" w14:textId="25920113" w:rsidR="00897F46" w:rsidRPr="00897F46" w:rsidRDefault="00897F46" w:rsidP="00897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E343" w14:textId="77777777" w:rsidR="00AE1FA6" w:rsidRDefault="00897F46" w:rsidP="00AE1FA6">
    <w:pPr>
      <w:pStyle w:val="Footer"/>
      <w:jc w:val="right"/>
      <w:rPr>
        <w:rFonts w:cs="Arial"/>
      </w:rPr>
    </w:pPr>
    <w:r w:rsidRPr="00855663">
      <w:rPr>
        <w:rFonts w:cs="Arial"/>
      </w:rPr>
      <w:t>RFP 2</w:t>
    </w:r>
    <w:r w:rsidR="00AE1FA6">
      <w:rPr>
        <w:rFonts w:cs="Arial"/>
      </w:rPr>
      <w:t>6</w:t>
    </w:r>
    <w:r w:rsidRPr="00855663">
      <w:rPr>
        <w:rFonts w:cs="Arial"/>
      </w:rPr>
      <w:t>-100 Real Property Appraisal Services</w:t>
    </w:r>
    <w:r w:rsidR="00AE1FA6">
      <w:rPr>
        <w:rFonts w:cs="Arial"/>
      </w:rPr>
      <w:t xml:space="preserve"> </w:t>
    </w:r>
    <w:r w:rsidR="00AE1FA6" w:rsidRPr="00AE1FA6">
      <w:rPr>
        <w:rFonts w:cs="Arial"/>
      </w:rPr>
      <w:t xml:space="preserve">– Special </w:t>
    </w:r>
  </w:p>
  <w:p w14:paraId="43C48E50" w14:textId="0F69975F" w:rsidR="00AE1FA6" w:rsidRDefault="00AE1FA6" w:rsidP="00AE1FA6">
    <w:pPr>
      <w:pStyle w:val="Footer"/>
      <w:jc w:val="right"/>
      <w:rPr>
        <w:rFonts w:cs="Arial"/>
      </w:rPr>
    </w:pPr>
    <w:r w:rsidRPr="00AE1FA6">
      <w:rPr>
        <w:rFonts w:cs="Arial"/>
      </w:rPr>
      <w:t xml:space="preserve">Franchise Properties and Telecommunications </w:t>
    </w:r>
  </w:p>
  <w:p w14:paraId="3C94B11D" w14:textId="1D904C1C" w:rsidR="00897F46" w:rsidRDefault="00AE1FA6" w:rsidP="00897F46">
    <w:pPr>
      <w:pStyle w:val="Footer"/>
      <w:jc w:val="right"/>
    </w:pPr>
    <w:r w:rsidRPr="00AE1FA6">
      <w:rPr>
        <w:rFonts w:cs="Arial"/>
      </w:rPr>
      <w:t>Assessment Ceiling Properties</w:t>
    </w:r>
    <w:r w:rsidR="00855663">
      <w:rPr>
        <w:rFonts w:cs="Arial"/>
      </w:rPr>
      <w:t xml:space="preserve"> </w:t>
    </w:r>
    <w:r w:rsidR="00897F46" w:rsidRPr="00855663">
      <w:rPr>
        <w:rFonts w:cs="Arial"/>
      </w:rPr>
      <w:t xml:space="preserve">| </w:t>
    </w:r>
    <w:sdt>
      <w:sdtPr>
        <w:id w:val="-1562623397"/>
        <w:docPartObj>
          <w:docPartGallery w:val="Page Numbers (Bottom of Page)"/>
          <w:docPartUnique/>
        </w:docPartObj>
      </w:sdtPr>
      <w:sdtEndPr/>
      <w:sdtContent>
        <w:sdt>
          <w:sdtPr>
            <w:id w:val="-38290327"/>
            <w:docPartObj>
              <w:docPartGallery w:val="Page Numbers (Top of Page)"/>
              <w:docPartUnique/>
            </w:docPartObj>
          </w:sdtPr>
          <w:sdtEndPr/>
          <w:sdtContent>
            <w:r w:rsidR="00897F46">
              <w:t xml:space="preserve">Page </w:t>
            </w:r>
            <w:r w:rsidR="00897F46">
              <w:rPr>
                <w:b/>
                <w:bCs/>
              </w:rPr>
              <w:fldChar w:fldCharType="begin"/>
            </w:r>
            <w:r w:rsidR="00897F46">
              <w:rPr>
                <w:b/>
                <w:bCs/>
              </w:rPr>
              <w:instrText xml:space="preserve"> PAGE </w:instrText>
            </w:r>
            <w:r w:rsidR="00897F46">
              <w:rPr>
                <w:b/>
                <w:bCs/>
              </w:rPr>
              <w:fldChar w:fldCharType="separate"/>
            </w:r>
            <w:r w:rsidR="00897F46">
              <w:rPr>
                <w:b/>
                <w:bCs/>
              </w:rPr>
              <w:t>2</w:t>
            </w:r>
            <w:r w:rsidR="00897F46">
              <w:rPr>
                <w:b/>
                <w:bCs/>
              </w:rPr>
              <w:fldChar w:fldCharType="end"/>
            </w:r>
          </w:sdtContent>
        </w:sdt>
      </w:sdtContent>
    </w:sdt>
  </w:p>
  <w:p w14:paraId="2F5B8D16" w14:textId="77777777" w:rsidR="00897F46" w:rsidRDefault="00897F46" w:rsidP="00897F46">
    <w:pPr>
      <w:jc w:val="right"/>
    </w:pPr>
    <w:r>
      <w:rPr>
        <w:b/>
        <w:bCs/>
      </w:rPr>
      <w:t>Questions and Answers</w:t>
    </w:r>
  </w:p>
  <w:p w14:paraId="66405FE1" w14:textId="77777777" w:rsidR="00897F46" w:rsidRPr="00897F46" w:rsidRDefault="00897F46" w:rsidP="00897F46">
    <w:pPr>
      <w:pStyle w:val="Footer"/>
    </w:pPr>
  </w:p>
  <w:p w14:paraId="7F9DBB91" w14:textId="77777777" w:rsidR="00656111" w:rsidRPr="004F63AB" w:rsidRDefault="00656111" w:rsidP="004F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B080" w14:textId="77777777" w:rsidR="00DC06B6" w:rsidRDefault="00DC06B6" w:rsidP="008B0D31">
      <w:r>
        <w:separator/>
      </w:r>
    </w:p>
  </w:footnote>
  <w:footnote w:type="continuationSeparator" w:id="0">
    <w:p w14:paraId="7B8CA582" w14:textId="77777777" w:rsidR="00DC06B6" w:rsidRDefault="00DC06B6"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071" w14:textId="77777777"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bookmarkStart w:id="3" w:name="_Hlk129851461"/>
    <w:bookmarkStart w:id="4" w:name="_Hlk129851462"/>
    <w:bookmarkStart w:id="5" w:name="_Hlk129851463"/>
    <w:bookmarkStart w:id="6" w:name="_Hlk129851464"/>
    <w:bookmarkStart w:id="7" w:name="_Hlk129851465"/>
    <w:bookmarkStart w:id="8" w:name="_Hlk129851466"/>
    <w:bookmarkStart w:id="9" w:name="_Hlk129851467"/>
    <w:bookmarkStart w:id="10" w:name="_Hlk129851468"/>
    <w:bookmarkStart w:id="11" w:name="_Hlk129851474"/>
    <w:bookmarkStart w:id="12" w:name="_Hlk129851475"/>
    <w:bookmarkStart w:id="13" w:name="_Hlk129851477"/>
    <w:bookmarkStart w:id="14" w:name="_Hlk129851478"/>
    <w:bookmarkStart w:id="15" w:name="_Hlk129851479"/>
    <w:bookmarkStart w:id="16" w:name="_Hlk129851480"/>
    <w:bookmarkStart w:id="17" w:name="_Hlk130375343"/>
    <w:bookmarkStart w:id="18" w:name="_Hlk130375344"/>
    <w:bookmarkStart w:id="19" w:name="_Hlk127962892"/>
    <w:bookmarkStart w:id="20" w:name="_Hlk127962893"/>
    <w:bookmarkStart w:id="21" w:name="_Hlk127962894"/>
    <w:bookmarkStart w:id="22" w:name="_Hlk127962895"/>
    <w:bookmarkStart w:id="23" w:name="_Hlk127962896"/>
    <w:bookmarkStart w:id="24" w:name="_Hlk127962897"/>
    <w:bookmarkStart w:id="25" w:name="_Hlk130369723"/>
    <w:bookmarkStart w:id="26" w:name="_Hlk130369724"/>
    <w:bookmarkStart w:id="27" w:name="_Hlk130369725"/>
    <w:bookmarkStart w:id="28" w:name="_Hlk130369726"/>
    <w:bookmarkStart w:id="29" w:name="_Hlk130369727"/>
    <w:bookmarkStart w:id="30" w:name="_Hlk130369728"/>
    <w:bookmarkStart w:id="31" w:name="_Hlk130369729"/>
    <w:bookmarkStart w:id="32" w:name="_Hlk130369730"/>
    <w:bookmarkStart w:id="33" w:name="_Hlk130369731"/>
    <w:bookmarkStart w:id="34" w:name="_Hlk130369732"/>
    <w:bookmarkStart w:id="35" w:name="_Hlk130369733"/>
    <w:bookmarkStart w:id="36" w:name="_Hlk130369734"/>
    <w:bookmarkStart w:id="37" w:name="_Hlk133564404"/>
    <w:bookmarkStart w:id="38" w:name="_Hlk133564405"/>
    <w:bookmarkStart w:id="39" w:name="_Hlk133564427"/>
    <w:bookmarkStart w:id="40" w:name="_Hlk133564428"/>
    <w:r w:rsidRPr="003A2E82">
      <w:rPr>
        <w:rFonts w:eastAsia="Arial" w:cs="Arial"/>
      </w:rPr>
      <w:t>New York State Department of Taxation and Finance</w:t>
    </w:r>
  </w:p>
  <w:p w14:paraId="7BDD1ABA" w14:textId="24A5228D"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w:t>
    </w:r>
    <w:r w:rsidR="00AE1FA6">
      <w:rPr>
        <w:rFonts w:eastAsia="Arial" w:cs="Arial"/>
      </w:rPr>
      <w:t>6</w:t>
    </w:r>
    <w:r>
      <w:rPr>
        <w:rFonts w:eastAsia="Arial" w:cs="Arial"/>
      </w:rPr>
      <w:t>-100</w:t>
    </w:r>
  </w:p>
  <w:p w14:paraId="184F8D5C" w14:textId="0A9236E8" w:rsidR="00AE1FA6" w:rsidRDefault="00897F4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rPr>
    </w:pPr>
    <w:r>
      <w:rPr>
        <w:rFonts w:eastAsia="Arial" w:cs="Arial"/>
      </w:rPr>
      <w:t>Real Property Appraisal</w:t>
    </w:r>
    <w:r w:rsidRPr="003A2E82">
      <w:rPr>
        <w:rFonts w:eastAsia="Arial" w:cs="Arial"/>
      </w:rPr>
      <w:t xml:space="preserve"> Services</w:t>
    </w:r>
    <w:r w:rsidR="00AE1FA6">
      <w:rPr>
        <w:rFonts w:eastAsia="Arial" w:cs="Arial"/>
      </w:rPr>
      <w:t xml:space="preserve"> </w:t>
    </w:r>
    <w:r w:rsidR="00AE1FA6" w:rsidRPr="00AE1FA6">
      <w:rPr>
        <w:rFonts w:eastAsia="Arial" w:cs="Arial"/>
      </w:rPr>
      <w:t xml:space="preserve">– Special Franchise Properties and </w:t>
    </w:r>
  </w:p>
  <w:p w14:paraId="6C573CF1" w14:textId="02C3458B" w:rsidR="00897F46" w:rsidRPr="003A2E82" w:rsidRDefault="00AE1FA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sidRPr="00AE1FA6">
      <w:rPr>
        <w:rFonts w:eastAsia="Arial" w:cs="Arial"/>
      </w:rPr>
      <w:t>Telecommunications Assessment Ceiling Properties</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24C35849" w14:textId="77777777" w:rsidR="00897F46" w:rsidRDefault="0089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E8C"/>
    <w:multiLevelType w:val="multilevel"/>
    <w:tmpl w:val="78F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0216E"/>
    <w:multiLevelType w:val="multilevel"/>
    <w:tmpl w:val="3D904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913A1"/>
    <w:multiLevelType w:val="multilevel"/>
    <w:tmpl w:val="8DD6EFD6"/>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3" w15:restartNumberingAfterBreak="0">
    <w:nsid w:val="16767166"/>
    <w:multiLevelType w:val="hybridMultilevel"/>
    <w:tmpl w:val="D0AE426C"/>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444646"/>
    <w:multiLevelType w:val="multilevel"/>
    <w:tmpl w:val="28581BCA"/>
    <w:lvl w:ilvl="0">
      <w:start w:val="7"/>
      <w:numFmt w:val="decimal"/>
      <w:lvlText w:val="%1."/>
      <w:lvlJc w:val="left"/>
      <w:pPr>
        <w:ind w:left="360" w:hanging="360"/>
      </w:pPr>
      <w:rPr>
        <w:rFonts w:hint="default"/>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5354FA"/>
    <w:multiLevelType w:val="hybridMultilevel"/>
    <w:tmpl w:val="89A4CE7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12E0FE1"/>
    <w:multiLevelType w:val="hybridMultilevel"/>
    <w:tmpl w:val="A0B0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F68DB"/>
    <w:multiLevelType w:val="multilevel"/>
    <w:tmpl w:val="A1CA5D9E"/>
    <w:lvl w:ilvl="0">
      <w:start w:val="1"/>
      <w:numFmt w:val="lowerLetter"/>
      <w:lvlText w:val="%1."/>
      <w:lvlJc w:val="left"/>
      <w:pPr>
        <w:tabs>
          <w:tab w:val="num" w:pos="720"/>
        </w:tabs>
        <w:ind w:left="720" w:hanging="360"/>
      </w:pPr>
      <w:rPr>
        <w:rFonts w:ascii="Arial" w:eastAsia="Calibri" w:hAnsi="Arial" w:cs="Arial"/>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E31092"/>
    <w:multiLevelType w:val="multilevel"/>
    <w:tmpl w:val="F08A63AC"/>
    <w:lvl w:ilvl="0">
      <w:start w:val="8"/>
      <w:numFmt w:val="decimal"/>
      <w:lvlText w:val="%1."/>
      <w:lvlJc w:val="left"/>
      <w:pPr>
        <w:ind w:left="456" w:hanging="456"/>
      </w:pPr>
      <w:rPr>
        <w:rFonts w:hint="default"/>
        <w:b/>
        <w:i w:val="0"/>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10" w15:restartNumberingAfterBreak="0">
    <w:nsid w:val="2F7601C0"/>
    <w:multiLevelType w:val="hybridMultilevel"/>
    <w:tmpl w:val="D35A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8F55CE"/>
    <w:multiLevelType w:val="hybridMultilevel"/>
    <w:tmpl w:val="056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42466"/>
    <w:multiLevelType w:val="hybridMultilevel"/>
    <w:tmpl w:val="22A221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BD15F2"/>
    <w:multiLevelType w:val="hybridMultilevel"/>
    <w:tmpl w:val="8678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82425"/>
    <w:multiLevelType w:val="hybridMultilevel"/>
    <w:tmpl w:val="5EAA26A6"/>
    <w:lvl w:ilvl="0" w:tplc="F88CD0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A7750"/>
    <w:multiLevelType w:val="multilevel"/>
    <w:tmpl w:val="BE1846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A96307C"/>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676317C"/>
    <w:multiLevelType w:val="hybridMultilevel"/>
    <w:tmpl w:val="F48C5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9105A"/>
    <w:multiLevelType w:val="hybridMultilevel"/>
    <w:tmpl w:val="EC6465DA"/>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B4520B"/>
    <w:multiLevelType w:val="hybridMultilevel"/>
    <w:tmpl w:val="851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65B93"/>
    <w:multiLevelType w:val="hybridMultilevel"/>
    <w:tmpl w:val="A040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857124"/>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1D458E"/>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580D5B"/>
    <w:multiLevelType w:val="hybridMultilevel"/>
    <w:tmpl w:val="17E4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128D8"/>
    <w:multiLevelType w:val="multilevel"/>
    <w:tmpl w:val="89E810F8"/>
    <w:lvl w:ilvl="0">
      <w:start w:val="9"/>
      <w:numFmt w:val="decimal"/>
      <w:lvlText w:val="%1."/>
      <w:lvlJc w:val="left"/>
      <w:pPr>
        <w:ind w:left="456" w:hanging="456"/>
      </w:pPr>
      <w:rPr>
        <w:rFonts w:hint="default"/>
        <w:b/>
        <w:i w:val="0"/>
      </w:rPr>
    </w:lvl>
    <w:lvl w:ilvl="1">
      <w:start w:val="2"/>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27" w15:restartNumberingAfterBreak="0">
    <w:nsid w:val="738D32E7"/>
    <w:multiLevelType w:val="hybridMultilevel"/>
    <w:tmpl w:val="FC4E0860"/>
    <w:lvl w:ilvl="0" w:tplc="EF80B1C2">
      <w:start w:val="1"/>
      <w:numFmt w:val="bullet"/>
      <w:lvlText w:val="–"/>
      <w:lvlJc w:val="left"/>
      <w:pPr>
        <w:ind w:left="1200" w:hanging="360"/>
      </w:pPr>
      <w:rPr>
        <w:rFonts w:ascii="Arial" w:hAnsi="Arial" w:hint="default"/>
        <w:strike w:val="0"/>
      </w:rPr>
    </w:lvl>
    <w:lvl w:ilvl="1" w:tplc="04090003" w:tentative="1">
      <w:start w:val="1"/>
      <w:numFmt w:val="lowerLetter"/>
      <w:lvlText w:val="%2."/>
      <w:lvlJc w:val="left"/>
      <w:pPr>
        <w:ind w:left="1920" w:hanging="360"/>
      </w:pPr>
    </w:lvl>
    <w:lvl w:ilvl="2" w:tplc="04090005" w:tentative="1">
      <w:start w:val="1"/>
      <w:numFmt w:val="lowerRoman"/>
      <w:lvlText w:val="%3."/>
      <w:lvlJc w:val="right"/>
      <w:pPr>
        <w:ind w:left="2640" w:hanging="180"/>
      </w:pPr>
    </w:lvl>
    <w:lvl w:ilvl="3" w:tplc="04090001" w:tentative="1">
      <w:start w:val="1"/>
      <w:numFmt w:val="decimal"/>
      <w:lvlText w:val="%4."/>
      <w:lvlJc w:val="left"/>
      <w:pPr>
        <w:ind w:left="3360" w:hanging="360"/>
      </w:pPr>
    </w:lvl>
    <w:lvl w:ilvl="4" w:tplc="04090003" w:tentative="1">
      <w:start w:val="1"/>
      <w:numFmt w:val="lowerLetter"/>
      <w:lvlText w:val="%5."/>
      <w:lvlJc w:val="left"/>
      <w:pPr>
        <w:ind w:left="4080" w:hanging="360"/>
      </w:pPr>
    </w:lvl>
    <w:lvl w:ilvl="5" w:tplc="04090005" w:tentative="1">
      <w:start w:val="1"/>
      <w:numFmt w:val="lowerRoman"/>
      <w:lvlText w:val="%6."/>
      <w:lvlJc w:val="right"/>
      <w:pPr>
        <w:ind w:left="4800" w:hanging="180"/>
      </w:pPr>
    </w:lvl>
    <w:lvl w:ilvl="6" w:tplc="04090001" w:tentative="1">
      <w:start w:val="1"/>
      <w:numFmt w:val="decimal"/>
      <w:lvlText w:val="%7."/>
      <w:lvlJc w:val="left"/>
      <w:pPr>
        <w:ind w:left="5520" w:hanging="360"/>
      </w:pPr>
    </w:lvl>
    <w:lvl w:ilvl="7" w:tplc="04090003" w:tentative="1">
      <w:start w:val="1"/>
      <w:numFmt w:val="lowerLetter"/>
      <w:lvlText w:val="%8."/>
      <w:lvlJc w:val="left"/>
      <w:pPr>
        <w:ind w:left="6240" w:hanging="360"/>
      </w:pPr>
    </w:lvl>
    <w:lvl w:ilvl="8" w:tplc="04090005" w:tentative="1">
      <w:start w:val="1"/>
      <w:numFmt w:val="lowerRoman"/>
      <w:lvlText w:val="%9."/>
      <w:lvlJc w:val="right"/>
      <w:pPr>
        <w:ind w:left="6960" w:hanging="180"/>
      </w:pPr>
    </w:lvl>
  </w:abstractNum>
  <w:abstractNum w:abstractNumId="28" w15:restartNumberingAfterBreak="0">
    <w:nsid w:val="7D6E432E"/>
    <w:multiLevelType w:val="multilevel"/>
    <w:tmpl w:val="0CD2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2550122">
    <w:abstractNumId w:val="13"/>
  </w:num>
  <w:num w:numId="2" w16cid:durableId="960958338">
    <w:abstractNumId w:val="3"/>
  </w:num>
  <w:num w:numId="3" w16cid:durableId="580606157">
    <w:abstractNumId w:val="27"/>
  </w:num>
  <w:num w:numId="4" w16cid:durableId="605500820">
    <w:abstractNumId w:val="20"/>
  </w:num>
  <w:num w:numId="5" w16cid:durableId="2078360339">
    <w:abstractNumId w:val="16"/>
  </w:num>
  <w:num w:numId="6" w16cid:durableId="2031056856">
    <w:abstractNumId w:val="26"/>
  </w:num>
  <w:num w:numId="7" w16cid:durableId="1000547950">
    <w:abstractNumId w:val="9"/>
  </w:num>
  <w:num w:numId="8" w16cid:durableId="101146076">
    <w:abstractNumId w:val="2"/>
  </w:num>
  <w:num w:numId="9" w16cid:durableId="757409023">
    <w:abstractNumId w:val="22"/>
  </w:num>
  <w:num w:numId="10" w16cid:durableId="142615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93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68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001512">
    <w:abstractNumId w:val="6"/>
  </w:num>
  <w:num w:numId="14" w16cid:durableId="16179056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35690">
    <w:abstractNumId w:val="0"/>
  </w:num>
  <w:num w:numId="16" w16cid:durableId="57896806">
    <w:abstractNumId w:val="1"/>
  </w:num>
  <w:num w:numId="17" w16cid:durableId="434641360">
    <w:abstractNumId w:val="18"/>
  </w:num>
  <w:num w:numId="18" w16cid:durableId="567572599">
    <w:abstractNumId w:val="15"/>
  </w:num>
  <w:num w:numId="19" w16cid:durableId="1486237912">
    <w:abstractNumId w:val="25"/>
  </w:num>
  <w:num w:numId="20" w16cid:durableId="1676103275">
    <w:abstractNumId w:val="21"/>
  </w:num>
  <w:num w:numId="21" w16cid:durableId="570191921">
    <w:abstractNumId w:val="10"/>
  </w:num>
  <w:num w:numId="22" w16cid:durableId="518853922">
    <w:abstractNumId w:val="14"/>
  </w:num>
  <w:num w:numId="23" w16cid:durableId="1910844360">
    <w:abstractNumId w:val="12"/>
  </w:num>
  <w:num w:numId="24" w16cid:durableId="1149901969">
    <w:abstractNumId w:val="28"/>
  </w:num>
  <w:num w:numId="25" w16cid:durableId="1603877368">
    <w:abstractNumId w:val="19"/>
  </w:num>
  <w:num w:numId="26" w16cid:durableId="1955822996">
    <w:abstractNumId w:val="7"/>
  </w:num>
  <w:num w:numId="27" w16cid:durableId="1581669102">
    <w:abstractNumId w:val="5"/>
  </w:num>
  <w:num w:numId="28" w16cid:durableId="681591485">
    <w:abstractNumId w:val="11"/>
  </w:num>
  <w:num w:numId="29" w16cid:durableId="213170004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13E13"/>
    <w:rsid w:val="00021BD9"/>
    <w:rsid w:val="00037649"/>
    <w:rsid w:val="00050FE0"/>
    <w:rsid w:val="00065611"/>
    <w:rsid w:val="00071864"/>
    <w:rsid w:val="00075236"/>
    <w:rsid w:val="00075D2E"/>
    <w:rsid w:val="00087E0A"/>
    <w:rsid w:val="0009002E"/>
    <w:rsid w:val="000907B0"/>
    <w:rsid w:val="00093C4F"/>
    <w:rsid w:val="000A0482"/>
    <w:rsid w:val="000C3826"/>
    <w:rsid w:val="000C51F6"/>
    <w:rsid w:val="000D472E"/>
    <w:rsid w:val="000D6FE1"/>
    <w:rsid w:val="001103DB"/>
    <w:rsid w:val="00120859"/>
    <w:rsid w:val="00120E80"/>
    <w:rsid w:val="001216D5"/>
    <w:rsid w:val="00122907"/>
    <w:rsid w:val="00126149"/>
    <w:rsid w:val="00126C95"/>
    <w:rsid w:val="001478F6"/>
    <w:rsid w:val="00153D7B"/>
    <w:rsid w:val="00163171"/>
    <w:rsid w:val="00163E5A"/>
    <w:rsid w:val="00167A3E"/>
    <w:rsid w:val="0017262D"/>
    <w:rsid w:val="001751E4"/>
    <w:rsid w:val="001816AB"/>
    <w:rsid w:val="00183FEC"/>
    <w:rsid w:val="0018461A"/>
    <w:rsid w:val="0019297E"/>
    <w:rsid w:val="00192E4A"/>
    <w:rsid w:val="001A10A3"/>
    <w:rsid w:val="001A57FD"/>
    <w:rsid w:val="001B2EB4"/>
    <w:rsid w:val="001C65F4"/>
    <w:rsid w:val="001E77B4"/>
    <w:rsid w:val="001E792E"/>
    <w:rsid w:val="001F40A0"/>
    <w:rsid w:val="00200061"/>
    <w:rsid w:val="002061FE"/>
    <w:rsid w:val="00214F45"/>
    <w:rsid w:val="0022482E"/>
    <w:rsid w:val="002254E0"/>
    <w:rsid w:val="00230C6F"/>
    <w:rsid w:val="00232B9F"/>
    <w:rsid w:val="00232DF5"/>
    <w:rsid w:val="002338BA"/>
    <w:rsid w:val="002558EC"/>
    <w:rsid w:val="0026014E"/>
    <w:rsid w:val="00263C94"/>
    <w:rsid w:val="00267225"/>
    <w:rsid w:val="00277A06"/>
    <w:rsid w:val="00285B72"/>
    <w:rsid w:val="00285CD0"/>
    <w:rsid w:val="0029250B"/>
    <w:rsid w:val="00295EBD"/>
    <w:rsid w:val="002A428C"/>
    <w:rsid w:val="002A440A"/>
    <w:rsid w:val="002A5C33"/>
    <w:rsid w:val="002A6D34"/>
    <w:rsid w:val="002A7A23"/>
    <w:rsid w:val="002C2AA6"/>
    <w:rsid w:val="002D290A"/>
    <w:rsid w:val="002D3678"/>
    <w:rsid w:val="002E1FC5"/>
    <w:rsid w:val="002E53A5"/>
    <w:rsid w:val="002E5613"/>
    <w:rsid w:val="002F00D4"/>
    <w:rsid w:val="002F1F83"/>
    <w:rsid w:val="003030B7"/>
    <w:rsid w:val="003129E2"/>
    <w:rsid w:val="00332067"/>
    <w:rsid w:val="003339DF"/>
    <w:rsid w:val="0034171C"/>
    <w:rsid w:val="00344696"/>
    <w:rsid w:val="00346819"/>
    <w:rsid w:val="0035477B"/>
    <w:rsid w:val="00372848"/>
    <w:rsid w:val="003808FA"/>
    <w:rsid w:val="00380C0A"/>
    <w:rsid w:val="00382AD9"/>
    <w:rsid w:val="003932CF"/>
    <w:rsid w:val="003A3122"/>
    <w:rsid w:val="003B787E"/>
    <w:rsid w:val="003E4E86"/>
    <w:rsid w:val="003F2A24"/>
    <w:rsid w:val="003F7668"/>
    <w:rsid w:val="00412CAD"/>
    <w:rsid w:val="004157AD"/>
    <w:rsid w:val="00420FAC"/>
    <w:rsid w:val="00434764"/>
    <w:rsid w:val="00442A38"/>
    <w:rsid w:val="00450372"/>
    <w:rsid w:val="00457B9D"/>
    <w:rsid w:val="0046704C"/>
    <w:rsid w:val="004700E6"/>
    <w:rsid w:val="0048070E"/>
    <w:rsid w:val="004A3E98"/>
    <w:rsid w:val="004A5632"/>
    <w:rsid w:val="004A6583"/>
    <w:rsid w:val="004D4E09"/>
    <w:rsid w:val="004D6472"/>
    <w:rsid w:val="004E445F"/>
    <w:rsid w:val="004E6674"/>
    <w:rsid w:val="004F128E"/>
    <w:rsid w:val="004F63AB"/>
    <w:rsid w:val="0052196B"/>
    <w:rsid w:val="00523B9B"/>
    <w:rsid w:val="00527933"/>
    <w:rsid w:val="0053237A"/>
    <w:rsid w:val="00541AF9"/>
    <w:rsid w:val="00546285"/>
    <w:rsid w:val="00550E72"/>
    <w:rsid w:val="00552AEC"/>
    <w:rsid w:val="0056750A"/>
    <w:rsid w:val="005810E8"/>
    <w:rsid w:val="005862EC"/>
    <w:rsid w:val="005900D7"/>
    <w:rsid w:val="005909AB"/>
    <w:rsid w:val="00594D6D"/>
    <w:rsid w:val="005A0BB8"/>
    <w:rsid w:val="005A15DD"/>
    <w:rsid w:val="005B3E20"/>
    <w:rsid w:val="005D1E12"/>
    <w:rsid w:val="005D28D4"/>
    <w:rsid w:val="005E02FD"/>
    <w:rsid w:val="005E20EC"/>
    <w:rsid w:val="005F7EB4"/>
    <w:rsid w:val="006048D5"/>
    <w:rsid w:val="00617CB5"/>
    <w:rsid w:val="00617DDE"/>
    <w:rsid w:val="0063026A"/>
    <w:rsid w:val="006327AC"/>
    <w:rsid w:val="00632EDB"/>
    <w:rsid w:val="00643312"/>
    <w:rsid w:val="006502F1"/>
    <w:rsid w:val="0065436A"/>
    <w:rsid w:val="006550BA"/>
    <w:rsid w:val="00656111"/>
    <w:rsid w:val="00660306"/>
    <w:rsid w:val="006713BA"/>
    <w:rsid w:val="00694DC2"/>
    <w:rsid w:val="006A4734"/>
    <w:rsid w:val="006B759D"/>
    <w:rsid w:val="006C1ACC"/>
    <w:rsid w:val="006C43C7"/>
    <w:rsid w:val="006C790D"/>
    <w:rsid w:val="006D3202"/>
    <w:rsid w:val="006E2685"/>
    <w:rsid w:val="00736073"/>
    <w:rsid w:val="007412FB"/>
    <w:rsid w:val="00741450"/>
    <w:rsid w:val="00745739"/>
    <w:rsid w:val="00751565"/>
    <w:rsid w:val="00765553"/>
    <w:rsid w:val="0076746E"/>
    <w:rsid w:val="007704B7"/>
    <w:rsid w:val="00770C49"/>
    <w:rsid w:val="0077268F"/>
    <w:rsid w:val="00773282"/>
    <w:rsid w:val="007751EA"/>
    <w:rsid w:val="0077569B"/>
    <w:rsid w:val="00782846"/>
    <w:rsid w:val="00793017"/>
    <w:rsid w:val="007A445E"/>
    <w:rsid w:val="007A660D"/>
    <w:rsid w:val="007B060D"/>
    <w:rsid w:val="007B4D00"/>
    <w:rsid w:val="007B5663"/>
    <w:rsid w:val="007C2BF9"/>
    <w:rsid w:val="007C3752"/>
    <w:rsid w:val="007C5D55"/>
    <w:rsid w:val="007E0A42"/>
    <w:rsid w:val="007E1C4E"/>
    <w:rsid w:val="007E41DC"/>
    <w:rsid w:val="007E5E13"/>
    <w:rsid w:val="007F3C50"/>
    <w:rsid w:val="007F47AE"/>
    <w:rsid w:val="007F6555"/>
    <w:rsid w:val="00806257"/>
    <w:rsid w:val="008151B9"/>
    <w:rsid w:val="00815750"/>
    <w:rsid w:val="00834390"/>
    <w:rsid w:val="008411E6"/>
    <w:rsid w:val="008420E4"/>
    <w:rsid w:val="0084416B"/>
    <w:rsid w:val="00846EFE"/>
    <w:rsid w:val="00847456"/>
    <w:rsid w:val="00855663"/>
    <w:rsid w:val="008624CA"/>
    <w:rsid w:val="00867FD2"/>
    <w:rsid w:val="008711CC"/>
    <w:rsid w:val="0088134C"/>
    <w:rsid w:val="008926CE"/>
    <w:rsid w:val="00895D38"/>
    <w:rsid w:val="00897F46"/>
    <w:rsid w:val="008A04EA"/>
    <w:rsid w:val="008A26F4"/>
    <w:rsid w:val="008B0D31"/>
    <w:rsid w:val="008B1427"/>
    <w:rsid w:val="008B30A5"/>
    <w:rsid w:val="008E0EA7"/>
    <w:rsid w:val="008E2554"/>
    <w:rsid w:val="008E7C58"/>
    <w:rsid w:val="008F6CBE"/>
    <w:rsid w:val="008F729F"/>
    <w:rsid w:val="009041B3"/>
    <w:rsid w:val="00907151"/>
    <w:rsid w:val="009146F2"/>
    <w:rsid w:val="0091763D"/>
    <w:rsid w:val="00941155"/>
    <w:rsid w:val="00946AD8"/>
    <w:rsid w:val="009479F4"/>
    <w:rsid w:val="009567A7"/>
    <w:rsid w:val="00956CA7"/>
    <w:rsid w:val="00963FF6"/>
    <w:rsid w:val="00967FD6"/>
    <w:rsid w:val="0098143A"/>
    <w:rsid w:val="00990419"/>
    <w:rsid w:val="00994FE5"/>
    <w:rsid w:val="00997685"/>
    <w:rsid w:val="00997BB9"/>
    <w:rsid w:val="009A42C6"/>
    <w:rsid w:val="009B052B"/>
    <w:rsid w:val="009C0F2A"/>
    <w:rsid w:val="009C4E6D"/>
    <w:rsid w:val="00A01791"/>
    <w:rsid w:val="00A173D6"/>
    <w:rsid w:val="00A239F3"/>
    <w:rsid w:val="00A26A7B"/>
    <w:rsid w:val="00A27F16"/>
    <w:rsid w:val="00A3052D"/>
    <w:rsid w:val="00A42C61"/>
    <w:rsid w:val="00A5078C"/>
    <w:rsid w:val="00A53709"/>
    <w:rsid w:val="00A539BB"/>
    <w:rsid w:val="00A55381"/>
    <w:rsid w:val="00A66E11"/>
    <w:rsid w:val="00A702AE"/>
    <w:rsid w:val="00A86C06"/>
    <w:rsid w:val="00A87C6F"/>
    <w:rsid w:val="00AA0ED6"/>
    <w:rsid w:val="00AA350D"/>
    <w:rsid w:val="00AA4857"/>
    <w:rsid w:val="00AA756E"/>
    <w:rsid w:val="00AB07D9"/>
    <w:rsid w:val="00AB38BF"/>
    <w:rsid w:val="00AB41C4"/>
    <w:rsid w:val="00AB450E"/>
    <w:rsid w:val="00AB70D9"/>
    <w:rsid w:val="00AD0AEE"/>
    <w:rsid w:val="00AE1C49"/>
    <w:rsid w:val="00AE1FA6"/>
    <w:rsid w:val="00AF3BC9"/>
    <w:rsid w:val="00B01A2B"/>
    <w:rsid w:val="00B02368"/>
    <w:rsid w:val="00B02B0D"/>
    <w:rsid w:val="00B07FE7"/>
    <w:rsid w:val="00B101FB"/>
    <w:rsid w:val="00B202E9"/>
    <w:rsid w:val="00B30439"/>
    <w:rsid w:val="00B33661"/>
    <w:rsid w:val="00B356A5"/>
    <w:rsid w:val="00B37105"/>
    <w:rsid w:val="00B537A7"/>
    <w:rsid w:val="00B72A51"/>
    <w:rsid w:val="00B735A6"/>
    <w:rsid w:val="00B935B4"/>
    <w:rsid w:val="00B952CD"/>
    <w:rsid w:val="00BA311D"/>
    <w:rsid w:val="00BA62B3"/>
    <w:rsid w:val="00BB1150"/>
    <w:rsid w:val="00BB39C9"/>
    <w:rsid w:val="00BB3F79"/>
    <w:rsid w:val="00BB5887"/>
    <w:rsid w:val="00BC141F"/>
    <w:rsid w:val="00BC1DAD"/>
    <w:rsid w:val="00BC7AB7"/>
    <w:rsid w:val="00BD2C79"/>
    <w:rsid w:val="00BF26AD"/>
    <w:rsid w:val="00BF341E"/>
    <w:rsid w:val="00BF4089"/>
    <w:rsid w:val="00BF6ED8"/>
    <w:rsid w:val="00C104AE"/>
    <w:rsid w:val="00C2381F"/>
    <w:rsid w:val="00C26890"/>
    <w:rsid w:val="00C418A7"/>
    <w:rsid w:val="00C538B4"/>
    <w:rsid w:val="00C54B58"/>
    <w:rsid w:val="00C715E2"/>
    <w:rsid w:val="00C71F43"/>
    <w:rsid w:val="00C732B2"/>
    <w:rsid w:val="00C82D00"/>
    <w:rsid w:val="00C87DF3"/>
    <w:rsid w:val="00CD1702"/>
    <w:rsid w:val="00CD375C"/>
    <w:rsid w:val="00CD3916"/>
    <w:rsid w:val="00CE43B8"/>
    <w:rsid w:val="00CF7D0F"/>
    <w:rsid w:val="00D05C45"/>
    <w:rsid w:val="00D11EB1"/>
    <w:rsid w:val="00D240D9"/>
    <w:rsid w:val="00D26A68"/>
    <w:rsid w:val="00D30A17"/>
    <w:rsid w:val="00D43710"/>
    <w:rsid w:val="00D504D5"/>
    <w:rsid w:val="00D538CF"/>
    <w:rsid w:val="00D619E3"/>
    <w:rsid w:val="00D81AB6"/>
    <w:rsid w:val="00D851A9"/>
    <w:rsid w:val="00D9070A"/>
    <w:rsid w:val="00D90B6F"/>
    <w:rsid w:val="00D91422"/>
    <w:rsid w:val="00DA2132"/>
    <w:rsid w:val="00DA5A04"/>
    <w:rsid w:val="00DC06B6"/>
    <w:rsid w:val="00DC0C4A"/>
    <w:rsid w:val="00DC1950"/>
    <w:rsid w:val="00DC24A8"/>
    <w:rsid w:val="00DC2FA6"/>
    <w:rsid w:val="00DC68F7"/>
    <w:rsid w:val="00DD1A7A"/>
    <w:rsid w:val="00DD4FB4"/>
    <w:rsid w:val="00DD5340"/>
    <w:rsid w:val="00DD591A"/>
    <w:rsid w:val="00DE3D85"/>
    <w:rsid w:val="00E00934"/>
    <w:rsid w:val="00E02B12"/>
    <w:rsid w:val="00E03FB9"/>
    <w:rsid w:val="00E040F3"/>
    <w:rsid w:val="00E07450"/>
    <w:rsid w:val="00E24A82"/>
    <w:rsid w:val="00E269FA"/>
    <w:rsid w:val="00E31EC7"/>
    <w:rsid w:val="00E51C43"/>
    <w:rsid w:val="00E5282D"/>
    <w:rsid w:val="00E56ED7"/>
    <w:rsid w:val="00E62F25"/>
    <w:rsid w:val="00E73869"/>
    <w:rsid w:val="00E76021"/>
    <w:rsid w:val="00E7725A"/>
    <w:rsid w:val="00E7733E"/>
    <w:rsid w:val="00E83B20"/>
    <w:rsid w:val="00E909CC"/>
    <w:rsid w:val="00E9461D"/>
    <w:rsid w:val="00E9626D"/>
    <w:rsid w:val="00EA30D0"/>
    <w:rsid w:val="00EB2373"/>
    <w:rsid w:val="00EB2734"/>
    <w:rsid w:val="00EB6912"/>
    <w:rsid w:val="00ED053E"/>
    <w:rsid w:val="00EE1932"/>
    <w:rsid w:val="00EE23F1"/>
    <w:rsid w:val="00F04B42"/>
    <w:rsid w:val="00F2091B"/>
    <w:rsid w:val="00F2571C"/>
    <w:rsid w:val="00F26534"/>
    <w:rsid w:val="00F6492D"/>
    <w:rsid w:val="00F65B1D"/>
    <w:rsid w:val="00F73801"/>
    <w:rsid w:val="00F8350F"/>
    <w:rsid w:val="00F8499B"/>
    <w:rsid w:val="00F876FA"/>
    <w:rsid w:val="00F96A8F"/>
    <w:rsid w:val="00F96D41"/>
    <w:rsid w:val="00FA5FE5"/>
    <w:rsid w:val="00FB6F1D"/>
    <w:rsid w:val="00FD7715"/>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
    <w:basedOn w:val="Normal"/>
    <w:link w:val="HeaderChar"/>
    <w:unhideWhenUsed/>
    <w:rsid w:val="008B0D31"/>
    <w:pPr>
      <w:tabs>
        <w:tab w:val="center" w:pos="4680"/>
        <w:tab w:val="right" w:pos="9360"/>
      </w:tabs>
    </w:pPr>
  </w:style>
  <w:style w:type="character" w:customStyle="1" w:styleId="HeaderChar">
    <w:name w:val="Header Char"/>
    <w:aliases w:val="Alt Header Char"/>
    <w:basedOn w:val="DefaultParagraphFont"/>
    <w:link w:val="Header"/>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basedOn w:val="Normal"/>
    <w:link w:val="ListParagraphChar"/>
    <w:uiPriority w:val="1"/>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basedOn w:val="DefaultParagraphFont"/>
    <w:link w:val="ListParagraph"/>
    <w:uiPriority w:val="1"/>
    <w:locked/>
    <w:rsid w:val="00617DDE"/>
    <w:rPr>
      <w:rFonts w:ascii="Calibri" w:eastAsia="Calibri" w:hAnsi="Calibri" w:cs="Times New Roman"/>
    </w:rPr>
  </w:style>
  <w:style w:type="paragraph" w:styleId="PlainText">
    <w:name w:val="Plain Text"/>
    <w:basedOn w:val="Normal"/>
    <w:link w:val="PlainTextChar"/>
    <w:rsid w:val="00C71F43"/>
    <w:rPr>
      <w:rFonts w:ascii="Times New Roman" w:eastAsia="MS Mincho" w:hAnsi="Times New Roman"/>
      <w:sz w:val="20"/>
      <w:szCs w:val="20"/>
    </w:rPr>
  </w:style>
  <w:style w:type="character" w:customStyle="1" w:styleId="PlainTextChar">
    <w:name w:val="Plain Text Char"/>
    <w:basedOn w:val="DefaultParagraphFont"/>
    <w:link w:val="PlainText"/>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rsid w:val="00956C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5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07518947">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03555199">
      <w:bodyDiv w:val="1"/>
      <w:marLeft w:val="0"/>
      <w:marRight w:val="0"/>
      <w:marTop w:val="0"/>
      <w:marBottom w:val="0"/>
      <w:divBdr>
        <w:top w:val="none" w:sz="0" w:space="0" w:color="auto"/>
        <w:left w:val="none" w:sz="0" w:space="0" w:color="auto"/>
        <w:bottom w:val="none" w:sz="0" w:space="0" w:color="auto"/>
        <w:right w:val="none" w:sz="0" w:space="0" w:color="auto"/>
      </w:divBdr>
    </w:div>
    <w:div w:id="829834842">
      <w:bodyDiv w:val="1"/>
      <w:marLeft w:val="0"/>
      <w:marRight w:val="0"/>
      <w:marTop w:val="0"/>
      <w:marBottom w:val="0"/>
      <w:divBdr>
        <w:top w:val="none" w:sz="0" w:space="0" w:color="auto"/>
        <w:left w:val="none" w:sz="0" w:space="0" w:color="auto"/>
        <w:bottom w:val="none" w:sz="0" w:space="0" w:color="auto"/>
        <w:right w:val="none" w:sz="0" w:space="0" w:color="auto"/>
      </w:divBdr>
    </w:div>
    <w:div w:id="858469452">
      <w:bodyDiv w:val="1"/>
      <w:marLeft w:val="0"/>
      <w:marRight w:val="0"/>
      <w:marTop w:val="0"/>
      <w:marBottom w:val="0"/>
      <w:divBdr>
        <w:top w:val="none" w:sz="0" w:space="0" w:color="auto"/>
        <w:left w:val="none" w:sz="0" w:space="0" w:color="auto"/>
        <w:bottom w:val="none" w:sz="0" w:space="0" w:color="auto"/>
        <w:right w:val="none" w:sz="0" w:space="0" w:color="auto"/>
      </w:divBdr>
    </w:div>
    <w:div w:id="954943868">
      <w:bodyDiv w:val="1"/>
      <w:marLeft w:val="0"/>
      <w:marRight w:val="0"/>
      <w:marTop w:val="0"/>
      <w:marBottom w:val="0"/>
      <w:divBdr>
        <w:top w:val="none" w:sz="0" w:space="0" w:color="auto"/>
        <w:left w:val="none" w:sz="0" w:space="0" w:color="auto"/>
        <w:bottom w:val="none" w:sz="0" w:space="0" w:color="auto"/>
        <w:right w:val="none" w:sz="0" w:space="0" w:color="auto"/>
      </w:divBdr>
    </w:div>
    <w:div w:id="1323853000">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574241516">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40905952">
      <w:bodyDiv w:val="1"/>
      <w:marLeft w:val="0"/>
      <w:marRight w:val="0"/>
      <w:marTop w:val="0"/>
      <w:marBottom w:val="0"/>
      <w:divBdr>
        <w:top w:val="none" w:sz="0" w:space="0" w:color="auto"/>
        <w:left w:val="none" w:sz="0" w:space="0" w:color="auto"/>
        <w:bottom w:val="none" w:sz="0" w:space="0" w:color="auto"/>
        <w:right w:val="none" w:sz="0" w:space="0" w:color="auto"/>
      </w:divBdr>
    </w:div>
    <w:div w:id="17680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x.ny.gov/research/property/legal/procedures/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y.newnycontracts.com/FrontEnd/searchcertifieddirec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15</cp:revision>
  <cp:lastPrinted>2020-09-16T20:47:00Z</cp:lastPrinted>
  <dcterms:created xsi:type="dcterms:W3CDTF">2025-03-03T19:32:00Z</dcterms:created>
  <dcterms:modified xsi:type="dcterms:W3CDTF">2026-05-08T16:32:00Z</dcterms:modified>
</cp:coreProperties>
</file>