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31"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06"/>
        <w:gridCol w:w="2963"/>
        <w:gridCol w:w="3762"/>
      </w:tblGrid>
      <w:tr w:rsidR="00713D72" w:rsidRPr="00643312" w14:paraId="45371621" w14:textId="77777777" w:rsidTr="001135F7">
        <w:trPr>
          <w:trHeight w:val="1017"/>
          <w:jc w:val="center"/>
        </w:trPr>
        <w:tc>
          <w:tcPr>
            <w:tcW w:w="11131" w:type="dxa"/>
            <w:gridSpan w:val="3"/>
          </w:tcPr>
          <w:p w14:paraId="23D17BDA" w14:textId="77777777" w:rsidR="00713D72" w:rsidRPr="00643312" w:rsidRDefault="00713D72" w:rsidP="001135F7">
            <w:pPr>
              <w:ind w:left="733"/>
              <w:rPr>
                <w:i/>
              </w:rPr>
            </w:pPr>
            <w:bookmarkStart w:id="0" w:name="_Hlk89341694"/>
            <w:r w:rsidRPr="00643312">
              <w:rPr>
                <w:i/>
                <w:noProof/>
              </w:rPr>
              <w:drawing>
                <wp:inline distT="0" distB="0" distL="0" distR="0" wp14:anchorId="79A278CA" wp14:editId="6900C588">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36891D55" w14:textId="77777777" w:rsidR="00713D72" w:rsidRPr="00643312" w:rsidRDefault="00713D72" w:rsidP="001135F7">
            <w:pPr>
              <w:ind w:left="45"/>
              <w:rPr>
                <w:i/>
              </w:rPr>
            </w:pPr>
          </w:p>
        </w:tc>
      </w:tr>
      <w:tr w:rsidR="00713D72" w:rsidRPr="00643312" w14:paraId="605640FD" w14:textId="77777777" w:rsidTr="001135F7">
        <w:trPr>
          <w:trHeight w:val="551"/>
          <w:jc w:val="center"/>
        </w:trPr>
        <w:tc>
          <w:tcPr>
            <w:tcW w:w="4406" w:type="dxa"/>
            <w:vAlign w:val="center"/>
          </w:tcPr>
          <w:p w14:paraId="6D58B811" w14:textId="77777777" w:rsidR="00713D72" w:rsidRPr="00643312" w:rsidRDefault="00713D72" w:rsidP="001135F7">
            <w:pPr>
              <w:spacing w:before="160"/>
              <w:ind w:left="733"/>
              <w:rPr>
                <w:b/>
                <w:caps/>
                <w:noProof/>
                <w:sz w:val="20"/>
              </w:rPr>
            </w:pPr>
            <w:r w:rsidRPr="00643312">
              <w:rPr>
                <w:b/>
                <w:color w:val="007681"/>
              </w:rPr>
              <w:t>BUREAU OF FISCAL SERVICES</w:t>
            </w:r>
            <w:r w:rsidRPr="00643312">
              <w:rPr>
                <w:b/>
                <w:caps/>
                <w:noProof/>
                <w:sz w:val="20"/>
              </w:rPr>
              <w:t xml:space="preserve"> </w:t>
            </w:r>
          </w:p>
          <w:p w14:paraId="7F9A5A56" w14:textId="77777777" w:rsidR="00713D72" w:rsidRPr="00643312" w:rsidRDefault="00713D72" w:rsidP="001135F7">
            <w:pPr>
              <w:spacing w:before="60"/>
              <w:ind w:left="734"/>
              <w:rPr>
                <w:b/>
                <w:caps/>
                <w:noProof/>
                <w:sz w:val="20"/>
              </w:rPr>
            </w:pPr>
            <w:r w:rsidRPr="00643312">
              <w:rPr>
                <w:b/>
                <w:caps/>
                <w:noProof/>
                <w:sz w:val="20"/>
              </w:rPr>
              <w:t>Procurement Unit</w:t>
            </w:r>
          </w:p>
          <w:p w14:paraId="5F888050" w14:textId="77777777" w:rsidR="00713D72" w:rsidRPr="00643312" w:rsidRDefault="00713D72" w:rsidP="001135F7">
            <w:pPr>
              <w:spacing w:before="60"/>
              <w:ind w:left="734"/>
              <w:rPr>
                <w:b/>
                <w:caps/>
                <w:noProof/>
                <w:sz w:val="20"/>
              </w:rPr>
            </w:pPr>
          </w:p>
          <w:p w14:paraId="12AF6CA2" w14:textId="77777777" w:rsidR="00713D72" w:rsidRPr="00643312" w:rsidRDefault="00713D72" w:rsidP="001135F7">
            <w:pPr>
              <w:spacing w:before="60"/>
              <w:ind w:left="734"/>
              <w:rPr>
                <w:b/>
                <w:caps/>
                <w:noProof/>
                <w:sz w:val="20"/>
              </w:rPr>
            </w:pPr>
          </w:p>
        </w:tc>
        <w:tc>
          <w:tcPr>
            <w:tcW w:w="2963" w:type="dxa"/>
            <w:vAlign w:val="center"/>
          </w:tcPr>
          <w:p w14:paraId="6EE74815" w14:textId="77777777" w:rsidR="00713D72" w:rsidRPr="00643312" w:rsidRDefault="00713D72" w:rsidP="001135F7">
            <w:pPr>
              <w:ind w:left="250"/>
              <w:rPr>
                <w:noProof/>
              </w:rPr>
            </w:pPr>
          </w:p>
        </w:tc>
        <w:tc>
          <w:tcPr>
            <w:tcW w:w="3762" w:type="dxa"/>
            <w:vAlign w:val="center"/>
          </w:tcPr>
          <w:p w14:paraId="39C5478A" w14:textId="77777777" w:rsidR="00713D72" w:rsidRPr="00643312" w:rsidRDefault="00713D72" w:rsidP="001135F7">
            <w:pPr>
              <w:ind w:left="593"/>
              <w:rPr>
                <w:caps/>
                <w:noProof/>
                <w:sz w:val="20"/>
              </w:rPr>
            </w:pPr>
          </w:p>
        </w:tc>
      </w:tr>
    </w:tbl>
    <w:p w14:paraId="68080B2A" w14:textId="17289A5D" w:rsidR="00713D72" w:rsidRPr="00713D72" w:rsidRDefault="00C54027" w:rsidP="00713D72">
      <w:pPr>
        <w:jc w:val="center"/>
        <w:rPr>
          <w:rFonts w:eastAsia="Calibri"/>
          <w:b/>
          <w:bCs/>
        </w:rPr>
      </w:pPr>
      <w:r>
        <w:rPr>
          <w:rFonts w:eastAsia="Calibri"/>
          <w:b/>
          <w:bCs/>
        </w:rPr>
        <w:t>April 4</w:t>
      </w:r>
      <w:r w:rsidR="00713D72" w:rsidRPr="00713D72">
        <w:rPr>
          <w:rFonts w:eastAsia="Calibri"/>
          <w:b/>
          <w:bCs/>
        </w:rPr>
        <w:t>, 2024</w:t>
      </w:r>
    </w:p>
    <w:p w14:paraId="17A1419F" w14:textId="77777777" w:rsidR="00713D72" w:rsidRPr="00713D72" w:rsidRDefault="00713D72" w:rsidP="00713D72">
      <w:pPr>
        <w:jc w:val="center"/>
        <w:rPr>
          <w:b/>
        </w:rPr>
      </w:pPr>
    </w:p>
    <w:p w14:paraId="205F31CD" w14:textId="4C65E72F" w:rsidR="00713D72" w:rsidRPr="00713D72" w:rsidRDefault="00713D72" w:rsidP="00713D72">
      <w:pPr>
        <w:jc w:val="center"/>
        <w:rPr>
          <w:rFonts w:eastAsia="Calibri"/>
          <w:b/>
          <w:bCs/>
        </w:rPr>
      </w:pPr>
      <w:r w:rsidRPr="00713D72">
        <w:rPr>
          <w:rFonts w:eastAsia="Calibri"/>
          <w:b/>
          <w:bCs/>
        </w:rPr>
        <w:t xml:space="preserve">Request for Proposals (RFP) 23-103 </w:t>
      </w:r>
    </w:p>
    <w:p w14:paraId="7F06526C" w14:textId="2A42869F" w:rsidR="00713D72" w:rsidRPr="00713D72" w:rsidRDefault="00713D72" w:rsidP="00713D72">
      <w:pPr>
        <w:jc w:val="center"/>
        <w:rPr>
          <w:rFonts w:eastAsia="Calibri"/>
          <w:b/>
          <w:bCs/>
        </w:rPr>
      </w:pPr>
      <w:r w:rsidRPr="00713D72">
        <w:rPr>
          <w:rFonts w:eastAsia="Calibri"/>
          <w:b/>
          <w:bCs/>
        </w:rPr>
        <w:t>Check 21 Services</w:t>
      </w:r>
    </w:p>
    <w:p w14:paraId="3094E7FB" w14:textId="77777777" w:rsidR="00713D72" w:rsidRPr="00713D72" w:rsidRDefault="00713D72" w:rsidP="00713D72">
      <w:pPr>
        <w:jc w:val="center"/>
        <w:rPr>
          <w:rFonts w:eastAsia="Calibri"/>
          <w:b/>
          <w:bCs/>
        </w:rPr>
      </w:pPr>
    </w:p>
    <w:p w14:paraId="5B944DA4" w14:textId="5213968A" w:rsidR="00713D72" w:rsidRPr="00713D72" w:rsidRDefault="00713D72" w:rsidP="00713D72">
      <w:pPr>
        <w:jc w:val="center"/>
        <w:rPr>
          <w:rFonts w:eastAsia="Calibri"/>
          <w:b/>
          <w:bCs/>
        </w:rPr>
      </w:pPr>
      <w:r w:rsidRPr="00713D72">
        <w:rPr>
          <w:rFonts w:eastAsia="Calibri"/>
          <w:b/>
          <w:bCs/>
        </w:rPr>
        <w:t xml:space="preserve">Responses to Round </w:t>
      </w:r>
      <w:r w:rsidR="00C54027">
        <w:rPr>
          <w:rFonts w:eastAsia="Calibri"/>
          <w:b/>
          <w:bCs/>
        </w:rPr>
        <w:t>Two</w:t>
      </w:r>
      <w:r w:rsidRPr="00713D72">
        <w:rPr>
          <w:rFonts w:eastAsia="Calibri"/>
          <w:b/>
          <w:bCs/>
        </w:rPr>
        <w:t xml:space="preserve"> Bidder Questions and Amendment #</w:t>
      </w:r>
      <w:r w:rsidR="00C54027">
        <w:rPr>
          <w:rFonts w:eastAsia="Calibri"/>
          <w:b/>
          <w:bCs/>
        </w:rPr>
        <w:t>2</w:t>
      </w:r>
    </w:p>
    <w:p w14:paraId="5F5D6F53" w14:textId="77777777" w:rsidR="00713D72" w:rsidRPr="00713D72" w:rsidRDefault="00713D72" w:rsidP="00713D72">
      <w:pPr>
        <w:ind w:right="270"/>
        <w:rPr>
          <w:rFonts w:eastAsia="Calibri"/>
          <w:b/>
          <w:bCs/>
        </w:rPr>
      </w:pPr>
    </w:p>
    <w:p w14:paraId="1E849E91" w14:textId="77777777" w:rsidR="00713D72" w:rsidRPr="00713D72" w:rsidRDefault="00713D72" w:rsidP="00713D72">
      <w:pPr>
        <w:autoSpaceDE w:val="0"/>
        <w:autoSpaceDN w:val="0"/>
        <w:adjustRightInd w:val="0"/>
        <w:spacing w:after="200" w:line="276" w:lineRule="auto"/>
        <w:ind w:right="270"/>
        <w:jc w:val="both"/>
        <w:rPr>
          <w:rFonts w:eastAsia="Calibri"/>
        </w:rPr>
      </w:pPr>
      <w:bookmarkStart w:id="1" w:name="_Hlk3362932"/>
      <w:r w:rsidRPr="00713D72">
        <w:rPr>
          <w:rFonts w:eastAsia="Calibri"/>
        </w:rPr>
        <w:t>To All Potential Bidders:</w:t>
      </w:r>
    </w:p>
    <w:p w14:paraId="60C3EB3A" w14:textId="04D486CC" w:rsidR="00713D72" w:rsidRPr="00713D72" w:rsidRDefault="00713D72" w:rsidP="00713D72">
      <w:pPr>
        <w:autoSpaceDE w:val="0"/>
        <w:autoSpaceDN w:val="0"/>
        <w:spacing w:before="60" w:after="200" w:line="276" w:lineRule="auto"/>
        <w:ind w:right="270"/>
        <w:jc w:val="both"/>
      </w:pPr>
      <w:r w:rsidRPr="00713D72">
        <w:t xml:space="preserve">Attached are the Department’s Responses to Round </w:t>
      </w:r>
      <w:r w:rsidR="00C54027">
        <w:t>Two</w:t>
      </w:r>
      <w:r w:rsidRPr="00713D72">
        <w:t xml:space="preserve"> Bidder Questions received for the above referenced RFP.</w:t>
      </w:r>
      <w:bookmarkEnd w:id="1"/>
    </w:p>
    <w:p w14:paraId="57240602" w14:textId="1365C1D6" w:rsidR="00713D72" w:rsidRPr="00713D72" w:rsidRDefault="00713D72" w:rsidP="00713D72">
      <w:pPr>
        <w:spacing w:before="240" w:line="276" w:lineRule="auto"/>
        <w:ind w:right="270"/>
        <w:jc w:val="both"/>
      </w:pPr>
      <w:r w:rsidRPr="00713D72">
        <w:t>Additionally, the Department is issuing Amendment #</w:t>
      </w:r>
      <w:r w:rsidR="00C54027">
        <w:t>2</w:t>
      </w:r>
      <w:r w:rsidRPr="00713D72">
        <w:t xml:space="preserve"> as clarification to:</w:t>
      </w:r>
    </w:p>
    <w:p w14:paraId="239FECF2" w14:textId="1260381E" w:rsidR="00C60ECA" w:rsidRDefault="00C60ECA" w:rsidP="00713D72">
      <w:pPr>
        <w:numPr>
          <w:ilvl w:val="0"/>
          <w:numId w:val="1"/>
        </w:numPr>
        <w:autoSpaceDE w:val="0"/>
        <w:autoSpaceDN w:val="0"/>
        <w:adjustRightInd w:val="0"/>
        <w:spacing w:before="240" w:after="60" w:line="276" w:lineRule="auto"/>
        <w:ind w:right="270"/>
        <w:jc w:val="both"/>
        <w:rPr>
          <w:rFonts w:eastAsia="Calibri"/>
        </w:rPr>
      </w:pPr>
      <w:r>
        <w:rPr>
          <w:rFonts w:eastAsia="Calibri"/>
        </w:rPr>
        <w:t>Amend RFP Table 2.2, Requirement 1.2</w:t>
      </w:r>
    </w:p>
    <w:p w14:paraId="4EA4FEA6" w14:textId="433000EA" w:rsidR="00713D72" w:rsidRDefault="00B44AE2" w:rsidP="00713D72">
      <w:pPr>
        <w:numPr>
          <w:ilvl w:val="0"/>
          <w:numId w:val="1"/>
        </w:numPr>
        <w:autoSpaceDE w:val="0"/>
        <w:autoSpaceDN w:val="0"/>
        <w:adjustRightInd w:val="0"/>
        <w:spacing w:before="240" w:after="60" w:line="276" w:lineRule="auto"/>
        <w:ind w:right="270"/>
        <w:jc w:val="both"/>
        <w:rPr>
          <w:rFonts w:eastAsia="Calibri"/>
        </w:rPr>
      </w:pPr>
      <w:r w:rsidRPr="00B44AE2">
        <w:rPr>
          <w:rFonts w:eastAsia="Calibri"/>
        </w:rPr>
        <w:t xml:space="preserve">Amend </w:t>
      </w:r>
      <w:r w:rsidR="008F712A">
        <w:rPr>
          <w:rFonts w:eastAsia="Calibri"/>
        </w:rPr>
        <w:t xml:space="preserve">RFP </w:t>
      </w:r>
      <w:r w:rsidRPr="00B44AE2">
        <w:rPr>
          <w:rFonts w:eastAsia="Calibri"/>
        </w:rPr>
        <w:t xml:space="preserve">Table </w:t>
      </w:r>
      <w:r w:rsidR="00C54027">
        <w:rPr>
          <w:rFonts w:eastAsia="Calibri"/>
        </w:rPr>
        <w:t>2</w:t>
      </w:r>
      <w:r w:rsidRPr="00B44AE2">
        <w:rPr>
          <w:rFonts w:eastAsia="Calibri"/>
        </w:rPr>
        <w:t>.</w:t>
      </w:r>
      <w:r w:rsidR="00C54027">
        <w:rPr>
          <w:rFonts w:eastAsia="Calibri"/>
        </w:rPr>
        <w:t>2, Requirement 17.4</w:t>
      </w:r>
    </w:p>
    <w:p w14:paraId="6D6422A9" w14:textId="4B5D721A" w:rsidR="003D324E" w:rsidRDefault="003D324E" w:rsidP="00713D72">
      <w:pPr>
        <w:numPr>
          <w:ilvl w:val="0"/>
          <w:numId w:val="1"/>
        </w:numPr>
        <w:autoSpaceDE w:val="0"/>
        <w:autoSpaceDN w:val="0"/>
        <w:adjustRightInd w:val="0"/>
        <w:spacing w:before="240" w:after="60" w:line="276" w:lineRule="auto"/>
        <w:ind w:right="270"/>
        <w:jc w:val="both"/>
        <w:rPr>
          <w:rFonts w:eastAsia="Calibri"/>
        </w:rPr>
      </w:pPr>
      <w:r>
        <w:rPr>
          <w:rFonts w:eastAsia="Calibri"/>
        </w:rPr>
        <w:t>Amend RFP Section 4.2.8</w:t>
      </w:r>
    </w:p>
    <w:p w14:paraId="14216B68" w14:textId="1138E790" w:rsidR="00713D72" w:rsidRPr="000B706C" w:rsidRDefault="00713D72" w:rsidP="00713D72">
      <w:pPr>
        <w:spacing w:before="240" w:line="276" w:lineRule="auto"/>
        <w:ind w:right="270"/>
        <w:jc w:val="both"/>
      </w:pPr>
      <w:r w:rsidRPr="00713D72">
        <w:t xml:space="preserve">Corrected pages are attached to this document. All additions are made in </w:t>
      </w:r>
      <w:r w:rsidR="000B706C">
        <w:t xml:space="preserve">blue underlined text </w:t>
      </w:r>
      <w:r w:rsidR="000B706C" w:rsidRPr="003D324E">
        <w:t>(</w:t>
      </w:r>
      <w:r w:rsidR="000B706C">
        <w:rPr>
          <w:color w:val="305CBE"/>
          <w:u w:val="single"/>
        </w:rPr>
        <w:t>additions</w:t>
      </w:r>
      <w:r w:rsidR="000B706C" w:rsidRPr="003D324E">
        <w:t>)</w:t>
      </w:r>
      <w:r w:rsidR="000B706C">
        <w:rPr>
          <w:color w:val="305CBE"/>
        </w:rPr>
        <w:t xml:space="preserve"> </w:t>
      </w:r>
      <w:r w:rsidR="000B706C" w:rsidRPr="000B706C">
        <w:t xml:space="preserve">and all deletions are made in red strikethrough text </w:t>
      </w:r>
      <w:r w:rsidR="000B706C" w:rsidRPr="003D324E">
        <w:t>(</w:t>
      </w:r>
      <w:r w:rsidR="000B706C">
        <w:rPr>
          <w:strike/>
          <w:color w:val="C00000"/>
        </w:rPr>
        <w:t>deletions</w:t>
      </w:r>
      <w:r w:rsidR="000B706C" w:rsidRPr="003D324E">
        <w:t>)</w:t>
      </w:r>
      <w:r w:rsidRPr="000B706C">
        <w:t>.</w:t>
      </w:r>
    </w:p>
    <w:p w14:paraId="0878AFD4" w14:textId="3990D617" w:rsidR="0082592C" w:rsidRPr="00713D72" w:rsidRDefault="00713D72" w:rsidP="00713D72">
      <w:pPr>
        <w:spacing w:before="240" w:line="276" w:lineRule="auto"/>
        <w:ind w:right="270"/>
        <w:jc w:val="both"/>
        <w:rPr>
          <w:b/>
          <w:bCs/>
        </w:rPr>
        <w:sectPr w:rsidR="0082592C" w:rsidRPr="00713D72" w:rsidSect="009D3B5B">
          <w:headerReference w:type="default" r:id="rId8"/>
          <w:footerReference w:type="default" r:id="rId9"/>
          <w:type w:val="continuous"/>
          <w:pgSz w:w="12240" w:h="15840" w:code="1"/>
          <w:pgMar w:top="1440" w:right="1440" w:bottom="1440" w:left="1440" w:header="432" w:footer="720" w:gutter="0"/>
          <w:cols w:space="720"/>
          <w:docGrid w:linePitch="360"/>
        </w:sectPr>
      </w:pPr>
      <w:r w:rsidRPr="00713D72">
        <w:t>All other requirements and conditions remain as indicated in the RFP.</w:t>
      </w:r>
      <w:bookmarkEnd w:id="0"/>
    </w:p>
    <w:tbl>
      <w:tblPr>
        <w:tblStyle w:val="TableGrid"/>
        <w:tblW w:w="14035" w:type="dxa"/>
        <w:tblLayout w:type="fixed"/>
        <w:tblLook w:val="04A0" w:firstRow="1" w:lastRow="0" w:firstColumn="1" w:lastColumn="0" w:noHBand="0" w:noVBand="1"/>
      </w:tblPr>
      <w:tblGrid>
        <w:gridCol w:w="535"/>
        <w:gridCol w:w="2160"/>
        <w:gridCol w:w="540"/>
        <w:gridCol w:w="5400"/>
        <w:gridCol w:w="5400"/>
      </w:tblGrid>
      <w:tr w:rsidR="00A609B7" w14:paraId="240F86D2" w14:textId="5DB4DE2C" w:rsidTr="008A6B1A">
        <w:trPr>
          <w:trHeight w:val="96"/>
          <w:tblHeader/>
        </w:trPr>
        <w:tc>
          <w:tcPr>
            <w:tcW w:w="535" w:type="dxa"/>
            <w:vMerge w:val="restart"/>
            <w:shd w:val="clear" w:color="auto" w:fill="BFBFBF" w:themeFill="background1" w:themeFillShade="BF"/>
          </w:tcPr>
          <w:p w14:paraId="40F98ED7" w14:textId="755A4601" w:rsidR="00A609B7" w:rsidRPr="00191914" w:rsidRDefault="00A609B7" w:rsidP="00191914">
            <w:pPr>
              <w:jc w:val="center"/>
              <w:rPr>
                <w:b/>
                <w:bCs/>
              </w:rPr>
            </w:pPr>
            <w:r w:rsidRPr="00191914">
              <w:rPr>
                <w:b/>
                <w:bCs/>
              </w:rPr>
              <w:lastRenderedPageBreak/>
              <w:t>#</w:t>
            </w:r>
          </w:p>
        </w:tc>
        <w:tc>
          <w:tcPr>
            <w:tcW w:w="2700" w:type="dxa"/>
            <w:gridSpan w:val="2"/>
            <w:shd w:val="clear" w:color="auto" w:fill="BFBFBF" w:themeFill="background1" w:themeFillShade="BF"/>
          </w:tcPr>
          <w:p w14:paraId="60749235" w14:textId="708C2AA3" w:rsidR="00A609B7" w:rsidRPr="00191914" w:rsidRDefault="00A609B7" w:rsidP="003C6D04">
            <w:pPr>
              <w:spacing w:after="60"/>
              <w:jc w:val="center"/>
              <w:rPr>
                <w:b/>
                <w:bCs/>
              </w:rPr>
            </w:pPr>
            <w:r w:rsidRPr="00191914">
              <w:rPr>
                <w:b/>
                <w:bCs/>
              </w:rPr>
              <w:t>RFP</w:t>
            </w:r>
          </w:p>
        </w:tc>
        <w:tc>
          <w:tcPr>
            <w:tcW w:w="5400" w:type="dxa"/>
            <w:vMerge w:val="restart"/>
            <w:shd w:val="clear" w:color="auto" w:fill="BFBFBF" w:themeFill="background1" w:themeFillShade="BF"/>
            <w:vAlign w:val="bottom"/>
          </w:tcPr>
          <w:p w14:paraId="7319EF2A" w14:textId="795C90A6" w:rsidR="00A609B7" w:rsidRPr="00191914" w:rsidRDefault="00A609B7" w:rsidP="003C6D04">
            <w:pPr>
              <w:spacing w:after="60"/>
              <w:jc w:val="center"/>
              <w:rPr>
                <w:b/>
                <w:bCs/>
              </w:rPr>
            </w:pPr>
            <w:r w:rsidRPr="00191914">
              <w:rPr>
                <w:b/>
                <w:bCs/>
              </w:rPr>
              <w:t>QUESTION</w:t>
            </w:r>
          </w:p>
        </w:tc>
        <w:tc>
          <w:tcPr>
            <w:tcW w:w="5400" w:type="dxa"/>
            <w:vMerge w:val="restart"/>
            <w:shd w:val="clear" w:color="auto" w:fill="007681"/>
            <w:vAlign w:val="bottom"/>
          </w:tcPr>
          <w:p w14:paraId="7EBC339E" w14:textId="0D8A0560" w:rsidR="00AF11BD" w:rsidRPr="00200073" w:rsidRDefault="00A609B7" w:rsidP="00200073">
            <w:pPr>
              <w:spacing w:after="60"/>
              <w:jc w:val="center"/>
              <w:rPr>
                <w:b/>
                <w:bCs/>
                <w:color w:val="F2F2F2" w:themeColor="background1" w:themeShade="F2"/>
              </w:rPr>
            </w:pPr>
            <w:r w:rsidRPr="008A6B1A">
              <w:rPr>
                <w:b/>
                <w:bCs/>
                <w:color w:val="F2F2F2" w:themeColor="background1" w:themeShade="F2"/>
              </w:rPr>
              <w:t>DEPARTMENT RESPONSE</w:t>
            </w:r>
          </w:p>
        </w:tc>
      </w:tr>
      <w:tr w:rsidR="00A609B7" w14:paraId="6D50E6E7" w14:textId="15153B59" w:rsidTr="00017469">
        <w:trPr>
          <w:trHeight w:val="85"/>
          <w:tblHeader/>
        </w:trPr>
        <w:tc>
          <w:tcPr>
            <w:tcW w:w="535" w:type="dxa"/>
            <w:vMerge/>
          </w:tcPr>
          <w:p w14:paraId="02B3EB61" w14:textId="77777777" w:rsidR="00A609B7" w:rsidRDefault="00A609B7"/>
        </w:tc>
        <w:tc>
          <w:tcPr>
            <w:tcW w:w="2160" w:type="dxa"/>
            <w:shd w:val="clear" w:color="auto" w:fill="D9D9D9" w:themeFill="background1" w:themeFillShade="D9"/>
          </w:tcPr>
          <w:p w14:paraId="4B59877C" w14:textId="2736BBF1" w:rsidR="00A609B7" w:rsidRPr="009B4700" w:rsidRDefault="00A609B7" w:rsidP="007A1D78">
            <w:pPr>
              <w:jc w:val="center"/>
              <w:rPr>
                <w:b/>
                <w:bCs/>
                <w:sz w:val="20"/>
                <w:szCs w:val="20"/>
              </w:rPr>
            </w:pPr>
            <w:r w:rsidRPr="009B4700">
              <w:rPr>
                <w:b/>
                <w:bCs/>
                <w:sz w:val="20"/>
                <w:szCs w:val="20"/>
              </w:rPr>
              <w:t>SECTION</w:t>
            </w:r>
          </w:p>
        </w:tc>
        <w:tc>
          <w:tcPr>
            <w:tcW w:w="540" w:type="dxa"/>
            <w:shd w:val="clear" w:color="auto" w:fill="D9D9D9" w:themeFill="background1" w:themeFillShade="D9"/>
          </w:tcPr>
          <w:p w14:paraId="44AF7013" w14:textId="2CEF3272" w:rsidR="00A609B7" w:rsidRPr="009B4700" w:rsidRDefault="00A609B7" w:rsidP="007A1D78">
            <w:pPr>
              <w:jc w:val="center"/>
              <w:rPr>
                <w:b/>
                <w:bCs/>
                <w:sz w:val="20"/>
                <w:szCs w:val="20"/>
              </w:rPr>
            </w:pPr>
            <w:r w:rsidRPr="009B4700">
              <w:rPr>
                <w:b/>
                <w:bCs/>
                <w:sz w:val="20"/>
                <w:szCs w:val="20"/>
              </w:rPr>
              <w:t>PG</w:t>
            </w:r>
          </w:p>
        </w:tc>
        <w:tc>
          <w:tcPr>
            <w:tcW w:w="5400" w:type="dxa"/>
            <w:vMerge/>
          </w:tcPr>
          <w:p w14:paraId="196B5316" w14:textId="77777777" w:rsidR="00A609B7" w:rsidRDefault="00A609B7" w:rsidP="003C6D04">
            <w:pPr>
              <w:spacing w:after="60"/>
            </w:pPr>
          </w:p>
        </w:tc>
        <w:tc>
          <w:tcPr>
            <w:tcW w:w="5400" w:type="dxa"/>
            <w:vMerge/>
            <w:shd w:val="clear" w:color="auto" w:fill="007681"/>
          </w:tcPr>
          <w:p w14:paraId="6A927E0D" w14:textId="30391DAE" w:rsidR="00A609B7" w:rsidRDefault="00A609B7" w:rsidP="003C6D04">
            <w:pPr>
              <w:spacing w:after="60"/>
            </w:pPr>
          </w:p>
        </w:tc>
      </w:tr>
      <w:tr w:rsidR="000B706C" w14:paraId="7EBB808A" w14:textId="10FAA5D2" w:rsidTr="00200073">
        <w:tc>
          <w:tcPr>
            <w:tcW w:w="535" w:type="dxa"/>
            <w:shd w:val="clear" w:color="auto" w:fill="BFBFBF" w:themeFill="background1" w:themeFillShade="BF"/>
          </w:tcPr>
          <w:p w14:paraId="53B71EEF" w14:textId="47FD08E2" w:rsidR="000B706C" w:rsidRPr="00191914" w:rsidRDefault="000B706C" w:rsidP="000B706C">
            <w:pPr>
              <w:spacing w:before="40" w:after="120"/>
              <w:rPr>
                <w:b/>
                <w:bCs/>
              </w:rPr>
            </w:pPr>
            <w:r w:rsidRPr="00240094">
              <w:rPr>
                <w:b/>
                <w:bCs/>
              </w:rPr>
              <w:t>1</w:t>
            </w:r>
          </w:p>
        </w:tc>
        <w:tc>
          <w:tcPr>
            <w:tcW w:w="2160" w:type="dxa"/>
            <w:shd w:val="clear" w:color="auto" w:fill="F2F2F2" w:themeFill="background1" w:themeFillShade="F2"/>
          </w:tcPr>
          <w:p w14:paraId="514A97B3" w14:textId="77777777" w:rsidR="000B706C" w:rsidRPr="00200145" w:rsidRDefault="000B706C" w:rsidP="000B706C">
            <w:pPr>
              <w:spacing w:before="40" w:after="40"/>
              <w:rPr>
                <w:b/>
                <w:bCs/>
                <w:i/>
                <w:iCs/>
              </w:rPr>
            </w:pPr>
            <w:r w:rsidRPr="00200145">
              <w:rPr>
                <w:b/>
                <w:bCs/>
              </w:rPr>
              <w:t>Table 2.1</w:t>
            </w:r>
            <w:r>
              <w:rPr>
                <w:b/>
                <w:bCs/>
              </w:rPr>
              <w:t xml:space="preserve">, </w:t>
            </w:r>
            <w:r w:rsidRPr="00200145">
              <w:rPr>
                <w:b/>
                <w:bCs/>
                <w:i/>
                <w:iCs/>
              </w:rPr>
              <w:t>Functional Requirements</w:t>
            </w:r>
          </w:p>
          <w:p w14:paraId="332A89C5" w14:textId="35AA8073" w:rsidR="000B706C" w:rsidRPr="00D25BC5" w:rsidRDefault="000B706C" w:rsidP="000B706C">
            <w:pPr>
              <w:spacing w:before="40" w:after="120"/>
              <w:rPr>
                <w:b/>
                <w:bCs/>
              </w:rPr>
            </w:pPr>
            <w:r>
              <w:rPr>
                <w:b/>
                <w:bCs/>
              </w:rPr>
              <w:t xml:space="preserve">Requirement </w:t>
            </w:r>
            <w:r w:rsidRPr="00ED5E81">
              <w:rPr>
                <w:b/>
                <w:bCs/>
              </w:rPr>
              <w:t>3.3</w:t>
            </w:r>
          </w:p>
        </w:tc>
        <w:tc>
          <w:tcPr>
            <w:tcW w:w="540" w:type="dxa"/>
            <w:shd w:val="clear" w:color="auto" w:fill="F2F2F2" w:themeFill="background1" w:themeFillShade="F2"/>
          </w:tcPr>
          <w:p w14:paraId="01F42755" w14:textId="690E8E1F" w:rsidR="000B706C" w:rsidRPr="00D25BC5" w:rsidRDefault="000B706C" w:rsidP="000B706C">
            <w:pPr>
              <w:spacing w:before="40" w:after="120"/>
              <w:rPr>
                <w:b/>
                <w:bCs/>
              </w:rPr>
            </w:pPr>
            <w:r w:rsidRPr="00ED5E81">
              <w:rPr>
                <w:b/>
                <w:bCs/>
              </w:rPr>
              <w:t>16</w:t>
            </w:r>
          </w:p>
        </w:tc>
        <w:tc>
          <w:tcPr>
            <w:tcW w:w="5400" w:type="dxa"/>
          </w:tcPr>
          <w:p w14:paraId="0E95966A" w14:textId="6E6F2D00" w:rsidR="000B706C" w:rsidRPr="00416ABE" w:rsidRDefault="000B706C" w:rsidP="000B706C">
            <w:pPr>
              <w:spacing w:before="40" w:after="40"/>
              <w:jc w:val="both"/>
            </w:pPr>
            <w:r w:rsidRPr="00ED5E81">
              <w:t>Can DTF clarify what the assigned identifying number is for each non-conforming image? Would the ECE Institution Sequence number of BOFD item sequence number suffice?</w:t>
            </w:r>
          </w:p>
        </w:tc>
        <w:tc>
          <w:tcPr>
            <w:tcW w:w="5400" w:type="dxa"/>
            <w:shd w:val="clear" w:color="auto" w:fill="auto"/>
          </w:tcPr>
          <w:p w14:paraId="7AB82EBF" w14:textId="2EC26233" w:rsidR="00D26C96" w:rsidRPr="00816610" w:rsidRDefault="00D26C96" w:rsidP="000B706C">
            <w:pPr>
              <w:spacing w:before="40" w:after="40"/>
              <w:jc w:val="both"/>
              <w:rPr>
                <w:color w:val="1F3864" w:themeColor="accent1" w:themeShade="80"/>
              </w:rPr>
            </w:pPr>
            <w:r w:rsidRPr="00200073">
              <w:rPr>
                <w:b/>
                <w:bCs/>
                <w:color w:val="1F3864" w:themeColor="accent1" w:themeShade="80"/>
              </w:rPr>
              <w:t>Yes, this is the field used.</w:t>
            </w:r>
          </w:p>
        </w:tc>
      </w:tr>
      <w:tr w:rsidR="000B706C" w14:paraId="38B598FD" w14:textId="06E63DD7" w:rsidTr="000C664F">
        <w:trPr>
          <w:trHeight w:val="206"/>
        </w:trPr>
        <w:tc>
          <w:tcPr>
            <w:tcW w:w="535" w:type="dxa"/>
            <w:shd w:val="clear" w:color="auto" w:fill="BFBFBF" w:themeFill="background1" w:themeFillShade="BF"/>
          </w:tcPr>
          <w:p w14:paraId="7A3F274A" w14:textId="37C4437C" w:rsidR="000B706C" w:rsidRPr="00191914" w:rsidRDefault="000B706C" w:rsidP="000B706C">
            <w:pPr>
              <w:spacing w:before="40" w:after="120"/>
              <w:rPr>
                <w:b/>
                <w:bCs/>
              </w:rPr>
            </w:pPr>
            <w:r w:rsidRPr="00240094">
              <w:rPr>
                <w:b/>
                <w:bCs/>
              </w:rPr>
              <w:t>2</w:t>
            </w:r>
          </w:p>
        </w:tc>
        <w:tc>
          <w:tcPr>
            <w:tcW w:w="2160" w:type="dxa"/>
            <w:shd w:val="clear" w:color="auto" w:fill="F2F2F2" w:themeFill="background1" w:themeFillShade="F2"/>
          </w:tcPr>
          <w:p w14:paraId="7F5DC5A8" w14:textId="77777777" w:rsidR="000B706C" w:rsidRPr="00200145" w:rsidRDefault="000B706C" w:rsidP="000B706C">
            <w:pPr>
              <w:spacing w:before="40" w:after="40"/>
              <w:rPr>
                <w:b/>
                <w:bCs/>
                <w:i/>
                <w:iCs/>
              </w:rPr>
            </w:pPr>
            <w:r w:rsidRPr="00200145">
              <w:rPr>
                <w:b/>
                <w:bCs/>
              </w:rPr>
              <w:t>Table 2.1</w:t>
            </w:r>
            <w:r>
              <w:rPr>
                <w:b/>
                <w:bCs/>
              </w:rPr>
              <w:t xml:space="preserve">, </w:t>
            </w:r>
            <w:r w:rsidRPr="00200145">
              <w:rPr>
                <w:b/>
                <w:bCs/>
                <w:i/>
                <w:iCs/>
              </w:rPr>
              <w:t>Functional Requirements</w:t>
            </w:r>
          </w:p>
          <w:p w14:paraId="63D33725" w14:textId="4B74C786" w:rsidR="000B706C" w:rsidRPr="00D25BC5" w:rsidRDefault="000B706C" w:rsidP="000B706C">
            <w:pPr>
              <w:spacing w:before="40" w:after="120"/>
              <w:rPr>
                <w:b/>
                <w:bCs/>
              </w:rPr>
            </w:pPr>
            <w:r>
              <w:rPr>
                <w:b/>
                <w:bCs/>
              </w:rPr>
              <w:t xml:space="preserve">Requirement </w:t>
            </w:r>
            <w:r w:rsidRPr="00200145">
              <w:rPr>
                <w:b/>
                <w:bCs/>
              </w:rPr>
              <w:t>6.1</w:t>
            </w:r>
          </w:p>
        </w:tc>
        <w:tc>
          <w:tcPr>
            <w:tcW w:w="540" w:type="dxa"/>
            <w:shd w:val="clear" w:color="auto" w:fill="F2F2F2" w:themeFill="background1" w:themeFillShade="F2"/>
          </w:tcPr>
          <w:p w14:paraId="38F76A9F" w14:textId="5A174582" w:rsidR="000B706C" w:rsidRPr="00D25BC5" w:rsidRDefault="000B706C" w:rsidP="000B706C">
            <w:pPr>
              <w:spacing w:before="40" w:after="120"/>
              <w:rPr>
                <w:b/>
                <w:bCs/>
              </w:rPr>
            </w:pPr>
            <w:r w:rsidRPr="00200145">
              <w:rPr>
                <w:b/>
                <w:bCs/>
              </w:rPr>
              <w:t>18</w:t>
            </w:r>
          </w:p>
        </w:tc>
        <w:tc>
          <w:tcPr>
            <w:tcW w:w="5400" w:type="dxa"/>
          </w:tcPr>
          <w:p w14:paraId="06C229FC" w14:textId="49D2604C" w:rsidR="000B706C" w:rsidRPr="00416ABE" w:rsidRDefault="000B706C" w:rsidP="000B706C">
            <w:pPr>
              <w:spacing w:before="40" w:after="40"/>
              <w:jc w:val="both"/>
            </w:pPr>
            <w:r w:rsidRPr="00200145">
              <w:t>Does the Department have a preference on when the representments should occur?</w:t>
            </w:r>
          </w:p>
        </w:tc>
        <w:tc>
          <w:tcPr>
            <w:tcW w:w="5400" w:type="dxa"/>
            <w:shd w:val="clear" w:color="auto" w:fill="auto"/>
          </w:tcPr>
          <w:p w14:paraId="49DF1CAC" w14:textId="4F159395" w:rsidR="000B706C" w:rsidRPr="00816610" w:rsidRDefault="000C664F" w:rsidP="000B706C">
            <w:pPr>
              <w:spacing w:before="40" w:after="40"/>
              <w:jc w:val="both"/>
              <w:rPr>
                <w:b/>
                <w:bCs/>
                <w:color w:val="1F3864" w:themeColor="accent1" w:themeShade="80"/>
              </w:rPr>
            </w:pPr>
            <w:r>
              <w:rPr>
                <w:b/>
                <w:bCs/>
                <w:color w:val="1F3864" w:themeColor="accent1" w:themeShade="80"/>
              </w:rPr>
              <w:t>The Department prefers that re-presentment occur at least 24 hours after</w:t>
            </w:r>
            <w:r w:rsidRPr="000C664F">
              <w:rPr>
                <w:b/>
                <w:bCs/>
                <w:color w:val="1F3864" w:themeColor="accent1" w:themeShade="80"/>
              </w:rPr>
              <w:t xml:space="preserve"> the initial notice of Dishonorment</w:t>
            </w:r>
            <w:r>
              <w:rPr>
                <w:b/>
                <w:bCs/>
                <w:color w:val="1F3864" w:themeColor="accent1" w:themeShade="80"/>
              </w:rPr>
              <w:t>.</w:t>
            </w:r>
          </w:p>
        </w:tc>
      </w:tr>
      <w:tr w:rsidR="000B706C" w14:paraId="15AD1142" w14:textId="0F5BDBD6" w:rsidTr="00200073">
        <w:trPr>
          <w:trHeight w:val="1007"/>
        </w:trPr>
        <w:tc>
          <w:tcPr>
            <w:tcW w:w="535" w:type="dxa"/>
            <w:shd w:val="clear" w:color="auto" w:fill="BFBFBF" w:themeFill="background1" w:themeFillShade="BF"/>
          </w:tcPr>
          <w:p w14:paraId="29BAFA67" w14:textId="71E263A3" w:rsidR="000B706C" w:rsidRPr="00191914" w:rsidRDefault="000B706C" w:rsidP="000B706C">
            <w:pPr>
              <w:spacing w:before="40" w:after="120"/>
              <w:rPr>
                <w:b/>
                <w:bCs/>
              </w:rPr>
            </w:pPr>
            <w:r>
              <w:rPr>
                <w:b/>
                <w:bCs/>
              </w:rPr>
              <w:t>3</w:t>
            </w:r>
          </w:p>
        </w:tc>
        <w:tc>
          <w:tcPr>
            <w:tcW w:w="2160" w:type="dxa"/>
            <w:shd w:val="clear" w:color="auto" w:fill="F2F2F2" w:themeFill="background1" w:themeFillShade="F2"/>
          </w:tcPr>
          <w:p w14:paraId="15156252" w14:textId="77777777" w:rsidR="000B706C" w:rsidRDefault="000B706C" w:rsidP="000B706C">
            <w:pPr>
              <w:spacing w:before="40" w:after="120"/>
              <w:rPr>
                <w:b/>
                <w:bCs/>
                <w:i/>
                <w:iCs/>
              </w:rPr>
            </w:pPr>
            <w:r w:rsidRPr="00AF6E65">
              <w:rPr>
                <w:b/>
                <w:bCs/>
              </w:rPr>
              <w:t>Table 2.2</w:t>
            </w:r>
            <w:r>
              <w:rPr>
                <w:b/>
                <w:bCs/>
              </w:rPr>
              <w:t xml:space="preserve">, </w:t>
            </w:r>
            <w:r w:rsidRPr="00240094">
              <w:rPr>
                <w:b/>
                <w:bCs/>
                <w:i/>
                <w:iCs/>
              </w:rPr>
              <w:t>Development / Support Service Requirements</w:t>
            </w:r>
          </w:p>
          <w:p w14:paraId="052508C1" w14:textId="7069B23D" w:rsidR="000B706C" w:rsidRPr="00D25BC5" w:rsidRDefault="000B706C" w:rsidP="000B706C">
            <w:pPr>
              <w:spacing w:before="40" w:after="120"/>
              <w:rPr>
                <w:b/>
                <w:bCs/>
              </w:rPr>
            </w:pPr>
            <w:r w:rsidRPr="00AF6E65">
              <w:rPr>
                <w:b/>
                <w:bCs/>
              </w:rPr>
              <w:t>Section 2</w:t>
            </w:r>
            <w:r>
              <w:rPr>
                <w:b/>
                <w:bCs/>
              </w:rPr>
              <w:t xml:space="preserve">, </w:t>
            </w:r>
            <w:r w:rsidRPr="00AF6E65">
              <w:rPr>
                <w:b/>
                <w:bCs/>
              </w:rPr>
              <w:t xml:space="preserve"> </w:t>
            </w:r>
            <w:r w:rsidRPr="00240094">
              <w:rPr>
                <w:b/>
                <w:bCs/>
                <w:i/>
                <w:iCs/>
              </w:rPr>
              <w:t>Internal Controls and Security For Physical Assets and Data</w:t>
            </w:r>
            <w:r w:rsidRPr="00240094">
              <w:rPr>
                <w:b/>
                <w:bCs/>
              </w:rPr>
              <w:t xml:space="preserve"> </w:t>
            </w:r>
          </w:p>
        </w:tc>
        <w:tc>
          <w:tcPr>
            <w:tcW w:w="540" w:type="dxa"/>
            <w:shd w:val="clear" w:color="auto" w:fill="F2F2F2" w:themeFill="background1" w:themeFillShade="F2"/>
          </w:tcPr>
          <w:p w14:paraId="78CD8497" w14:textId="21E7AED2" w:rsidR="000B706C" w:rsidRPr="00D25BC5" w:rsidRDefault="000B706C" w:rsidP="000B706C">
            <w:pPr>
              <w:spacing w:before="40" w:after="120"/>
              <w:rPr>
                <w:b/>
                <w:bCs/>
              </w:rPr>
            </w:pPr>
            <w:r>
              <w:rPr>
                <w:b/>
                <w:bCs/>
              </w:rPr>
              <w:t>22-26</w:t>
            </w:r>
          </w:p>
        </w:tc>
        <w:tc>
          <w:tcPr>
            <w:tcW w:w="5400" w:type="dxa"/>
          </w:tcPr>
          <w:p w14:paraId="502A6E0D" w14:textId="1D56D766" w:rsidR="000B706C" w:rsidRDefault="000B706C" w:rsidP="00D26C96">
            <w:pPr>
              <w:pStyle w:val="ListParagraph"/>
              <w:numPr>
                <w:ilvl w:val="0"/>
                <w:numId w:val="22"/>
              </w:numPr>
              <w:spacing w:before="40" w:after="120" w:line="240" w:lineRule="auto"/>
              <w:ind w:left="252" w:hanging="252"/>
              <w:jc w:val="both"/>
              <w:rPr>
                <w:rFonts w:ascii="Arial" w:hAnsi="Arial" w:cs="Arial"/>
              </w:rPr>
            </w:pPr>
            <w:r w:rsidRPr="00D26C96">
              <w:rPr>
                <w:rFonts w:ascii="Arial" w:hAnsi="Arial" w:cs="Arial"/>
              </w:rPr>
              <w:t>Given Section 2.5 contemplates cooperation in performance of a security review/risk prior to implementation, and given the highly confidential nature of certain information requested in this section, is the State willing to negotiate proposed modifications in place upon award or conditional award subject to necessary confidentiality and security requirements?</w:t>
            </w:r>
          </w:p>
          <w:p w14:paraId="7F6482B2" w14:textId="230EE8D8" w:rsidR="000B706C" w:rsidRPr="00D26C96" w:rsidRDefault="000B706C" w:rsidP="00D26C96">
            <w:pPr>
              <w:pStyle w:val="ListParagraph"/>
              <w:numPr>
                <w:ilvl w:val="0"/>
                <w:numId w:val="22"/>
              </w:numPr>
              <w:spacing w:before="120" w:after="120" w:line="240" w:lineRule="auto"/>
              <w:ind w:left="252" w:hanging="252"/>
              <w:jc w:val="both"/>
              <w:rPr>
                <w:rFonts w:ascii="Arial" w:hAnsi="Arial" w:cs="Arial"/>
              </w:rPr>
            </w:pPr>
            <w:r w:rsidRPr="00D26C96">
              <w:rPr>
                <w:rFonts w:ascii="Arial" w:hAnsi="Arial" w:cs="Arial"/>
              </w:rPr>
              <w:t>As a general matter, Bank cannot agree to future changes to legal requirements without a formal change control, amendment, or termination process being available.  We also do not generally agree to specific client information security requirements, but are willing to do so for the State provided they are formally incorporated as attachments/exhibits to the contract and subject to non-material edits from negotiations.</w:t>
            </w:r>
          </w:p>
        </w:tc>
        <w:tc>
          <w:tcPr>
            <w:tcW w:w="5400" w:type="dxa"/>
            <w:shd w:val="clear" w:color="auto" w:fill="auto"/>
          </w:tcPr>
          <w:p w14:paraId="18885327" w14:textId="77777777" w:rsidR="00D26C96" w:rsidRPr="00816610" w:rsidRDefault="00D26C96" w:rsidP="00D26C96">
            <w:pPr>
              <w:spacing w:before="40"/>
              <w:jc w:val="both"/>
              <w:rPr>
                <w:b/>
                <w:bCs/>
                <w:color w:val="1F3864" w:themeColor="accent1" w:themeShade="80"/>
              </w:rPr>
            </w:pPr>
            <w:r w:rsidRPr="00816610">
              <w:rPr>
                <w:b/>
                <w:bCs/>
                <w:color w:val="1F3864" w:themeColor="accent1" w:themeShade="80"/>
              </w:rPr>
              <w:t>DTF sought clarification from the entity that submitted this question. Upon receiving the clarification as it relates to this question asked, DTF offers the following response:</w:t>
            </w:r>
          </w:p>
          <w:p w14:paraId="40EAB7BD" w14:textId="5DBDC8CF" w:rsidR="00D26C96" w:rsidRPr="00816610" w:rsidRDefault="00D26C96" w:rsidP="00200073">
            <w:pPr>
              <w:numPr>
                <w:ilvl w:val="0"/>
                <w:numId w:val="20"/>
              </w:numPr>
              <w:spacing w:before="120" w:after="160" w:line="252" w:lineRule="auto"/>
              <w:jc w:val="both"/>
              <w:rPr>
                <w:rFonts w:eastAsia="Times New Roman"/>
                <w:b/>
                <w:bCs/>
                <w:color w:val="1F3864" w:themeColor="accent1" w:themeShade="80"/>
              </w:rPr>
            </w:pPr>
            <w:r w:rsidRPr="00816610">
              <w:rPr>
                <w:rFonts w:eastAsia="Times New Roman"/>
                <w:b/>
                <w:bCs/>
                <w:color w:val="1F3864" w:themeColor="accent1" w:themeShade="80"/>
              </w:rPr>
              <w:t xml:space="preserve">The Department acknowledges there could be a need for confidentiality in certain aspects of a Bidder’s </w:t>
            </w:r>
            <w:r w:rsidR="00D764BA">
              <w:rPr>
                <w:rFonts w:eastAsia="Times New Roman"/>
                <w:b/>
                <w:bCs/>
                <w:color w:val="1F3864" w:themeColor="accent1" w:themeShade="80"/>
              </w:rPr>
              <w:t>P</w:t>
            </w:r>
            <w:r w:rsidRPr="00816610">
              <w:rPr>
                <w:rFonts w:eastAsia="Times New Roman"/>
                <w:b/>
                <w:bCs/>
                <w:color w:val="1F3864" w:themeColor="accent1" w:themeShade="80"/>
              </w:rPr>
              <w:t>roposal and/or descriptions of information technology systems. Accordingly, Bidders should review and comply with:</w:t>
            </w:r>
          </w:p>
          <w:p w14:paraId="60CDC1FD" w14:textId="77777777" w:rsidR="00D26C96" w:rsidRPr="00816610" w:rsidRDefault="00D26C96" w:rsidP="00D26C96">
            <w:pPr>
              <w:numPr>
                <w:ilvl w:val="0"/>
                <w:numId w:val="21"/>
              </w:numPr>
              <w:spacing w:after="120"/>
              <w:ind w:left="981" w:hanging="270"/>
              <w:jc w:val="both"/>
              <w:rPr>
                <w:rFonts w:eastAsia="Times New Roman"/>
                <w:b/>
                <w:bCs/>
                <w:color w:val="1F3864" w:themeColor="accent1" w:themeShade="80"/>
              </w:rPr>
            </w:pPr>
            <w:r w:rsidRPr="00816610">
              <w:rPr>
                <w:rFonts w:eastAsia="Times New Roman"/>
                <w:b/>
                <w:bCs/>
                <w:color w:val="1F3864" w:themeColor="accent1" w:themeShade="80"/>
              </w:rPr>
              <w:t xml:space="preserve">RFP Section 4.1.5 regarding Proposal Security (Note that this Section also speaks to nondisclosure agreements); and </w:t>
            </w:r>
          </w:p>
          <w:p w14:paraId="6FA9BF7E" w14:textId="5A01FCF5" w:rsidR="00D26C96" w:rsidRPr="00816610" w:rsidRDefault="00D26C96" w:rsidP="00D26C96">
            <w:pPr>
              <w:numPr>
                <w:ilvl w:val="0"/>
                <w:numId w:val="21"/>
              </w:numPr>
              <w:spacing w:after="160" w:line="252" w:lineRule="auto"/>
              <w:ind w:left="981" w:hanging="270"/>
              <w:jc w:val="both"/>
              <w:rPr>
                <w:rFonts w:eastAsia="Times New Roman"/>
                <w:b/>
                <w:bCs/>
                <w:color w:val="1F3864" w:themeColor="accent1" w:themeShade="80"/>
              </w:rPr>
            </w:pPr>
            <w:r w:rsidRPr="00816610">
              <w:rPr>
                <w:rFonts w:eastAsia="Times New Roman"/>
                <w:b/>
                <w:bCs/>
                <w:color w:val="1F3864" w:themeColor="accent1" w:themeShade="80"/>
              </w:rPr>
              <w:t xml:space="preserve">RFP Section 4.2.19 regarding the procedure for a Request for Exemption from Disclosure. </w:t>
            </w:r>
          </w:p>
          <w:p w14:paraId="31209503" w14:textId="6D016DF2" w:rsidR="00D26C96" w:rsidRPr="00816610" w:rsidRDefault="00D26C96" w:rsidP="00D26C96">
            <w:pPr>
              <w:jc w:val="both"/>
              <w:rPr>
                <w:b/>
                <w:bCs/>
                <w:color w:val="1F3864" w:themeColor="accent1" w:themeShade="80"/>
              </w:rPr>
            </w:pPr>
            <w:r w:rsidRPr="00816610">
              <w:rPr>
                <w:b/>
                <w:bCs/>
                <w:color w:val="1F3864" w:themeColor="accent1" w:themeShade="80"/>
              </w:rPr>
              <w:t xml:space="preserve">To fully evaluate </w:t>
            </w:r>
            <w:r w:rsidR="00D764BA">
              <w:rPr>
                <w:b/>
                <w:bCs/>
                <w:color w:val="1F3864" w:themeColor="accent1" w:themeShade="80"/>
              </w:rPr>
              <w:t>P</w:t>
            </w:r>
            <w:r w:rsidRPr="00816610">
              <w:rPr>
                <w:b/>
                <w:bCs/>
                <w:color w:val="1F3864" w:themeColor="accent1" w:themeShade="80"/>
              </w:rPr>
              <w:t xml:space="preserve">roposals, the Department requires all of the information requested in the RFP. Failure to fully provide the requested information may result in a reduced technical score for the </w:t>
            </w:r>
            <w:r w:rsidR="00D764BA">
              <w:rPr>
                <w:b/>
                <w:bCs/>
                <w:color w:val="1F3864" w:themeColor="accent1" w:themeShade="80"/>
              </w:rPr>
              <w:t>Proposal</w:t>
            </w:r>
            <w:r w:rsidRPr="00816610">
              <w:rPr>
                <w:b/>
                <w:bCs/>
                <w:color w:val="1F3864" w:themeColor="accent1" w:themeShade="80"/>
              </w:rPr>
              <w:t xml:space="preserve">. </w:t>
            </w:r>
          </w:p>
          <w:p w14:paraId="6A62D928" w14:textId="77777777" w:rsidR="00D26C96" w:rsidRPr="004C5D77" w:rsidRDefault="00D26C96" w:rsidP="00D26C96">
            <w:pPr>
              <w:jc w:val="both"/>
              <w:rPr>
                <w:b/>
                <w:bCs/>
                <w:color w:val="1F3864" w:themeColor="accent1" w:themeShade="80"/>
              </w:rPr>
            </w:pPr>
          </w:p>
          <w:p w14:paraId="520D630E" w14:textId="05F333C0" w:rsidR="00B46A3E" w:rsidRPr="004C5D77" w:rsidRDefault="00D26C96" w:rsidP="00D26C96">
            <w:pPr>
              <w:numPr>
                <w:ilvl w:val="0"/>
                <w:numId w:val="20"/>
              </w:numPr>
              <w:spacing w:line="252" w:lineRule="auto"/>
              <w:jc w:val="both"/>
              <w:rPr>
                <w:rFonts w:eastAsia="Times New Roman"/>
                <w:b/>
                <w:bCs/>
                <w:color w:val="1F3864" w:themeColor="accent1" w:themeShade="80"/>
              </w:rPr>
            </w:pPr>
            <w:r w:rsidRPr="00816610">
              <w:rPr>
                <w:rFonts w:eastAsia="Times New Roman"/>
                <w:b/>
                <w:bCs/>
                <w:color w:val="1F3864" w:themeColor="accent1" w:themeShade="80"/>
              </w:rPr>
              <w:lastRenderedPageBreak/>
              <w:t xml:space="preserve">The Department is amenable to attaching printouts of the current versions of the State policies referenced in </w:t>
            </w:r>
            <w:r w:rsidR="00D764BA">
              <w:rPr>
                <w:rFonts w:eastAsia="Times New Roman"/>
                <w:b/>
                <w:bCs/>
                <w:color w:val="1F3864" w:themeColor="accent1" w:themeShade="80"/>
              </w:rPr>
              <w:t xml:space="preserve">RFP </w:t>
            </w:r>
            <w:r w:rsidRPr="00816610">
              <w:rPr>
                <w:rFonts w:eastAsia="Times New Roman"/>
                <w:b/>
                <w:bCs/>
                <w:color w:val="1F3864" w:themeColor="accent1" w:themeShade="80"/>
              </w:rPr>
              <w:t xml:space="preserve">Table 2.2, at Requirement 2.1 to the contract. However, </w:t>
            </w:r>
            <w:r w:rsidRPr="00816610">
              <w:rPr>
                <w:rStyle w:val="ui-provider"/>
                <w:rFonts w:eastAsia="Times New Roman"/>
                <w:b/>
                <w:bCs/>
                <w:color w:val="1F3864" w:themeColor="accent1" w:themeShade="80"/>
              </w:rPr>
              <w:t>the ITS standards and policies referenced in the RFP are baseline security protections, compliance with which is required for the State and any of the State’s contractors.</w:t>
            </w:r>
            <w:r w:rsidRPr="00816610">
              <w:rPr>
                <w:rStyle w:val="ui-provider"/>
                <w:rFonts w:eastAsia="Times New Roman"/>
                <w:color w:val="1F3864" w:themeColor="accent1" w:themeShade="80"/>
              </w:rPr>
              <w:t> </w:t>
            </w:r>
            <w:r w:rsidRPr="00816610">
              <w:rPr>
                <w:rStyle w:val="ui-provider"/>
                <w:rFonts w:eastAsia="Times New Roman"/>
                <w:b/>
                <w:bCs/>
                <w:color w:val="1F3864" w:themeColor="accent1" w:themeShade="80"/>
              </w:rPr>
              <w:t xml:space="preserve">The State will not “negotiate” the requirements </w:t>
            </w:r>
            <w:r w:rsidRPr="00816610">
              <w:rPr>
                <w:rStyle w:val="ui-provider"/>
                <w:rFonts w:eastAsia="Times New Roman"/>
                <w:b/>
                <w:bCs/>
                <w:i/>
                <w:iCs/>
                <w:color w:val="1F3864" w:themeColor="accent1" w:themeShade="80"/>
              </w:rPr>
              <w:t>per se</w:t>
            </w:r>
            <w:r w:rsidRPr="00816610">
              <w:rPr>
                <w:rStyle w:val="ui-provider"/>
                <w:rFonts w:eastAsia="Times New Roman"/>
                <w:b/>
                <w:bCs/>
                <w:color w:val="1F3864" w:themeColor="accent1" w:themeShade="80"/>
              </w:rPr>
              <w:t>. However</w:t>
            </w:r>
            <w:r w:rsidRPr="00816610">
              <w:rPr>
                <w:rStyle w:val="ui-provider"/>
                <w:rFonts w:eastAsia="Times New Roman"/>
                <w:color w:val="1F3864" w:themeColor="accent1" w:themeShade="80"/>
              </w:rPr>
              <w:t xml:space="preserve">, </w:t>
            </w:r>
            <w:r w:rsidRPr="00816610">
              <w:rPr>
                <w:rFonts w:eastAsia="Times New Roman"/>
                <w:b/>
                <w:bCs/>
                <w:color w:val="1F3864" w:themeColor="accent1" w:themeShade="80"/>
              </w:rPr>
              <w:t xml:space="preserve">if a Bidder is unable to meet any of the requirements in the policies and the State deems that an exception to an ITS policy is necessary and prudent, the State and the Bidder could apply for an </w:t>
            </w:r>
            <w:r w:rsidR="00804A66" w:rsidRPr="00816610">
              <w:rPr>
                <w:rFonts w:eastAsia="Times New Roman"/>
                <w:b/>
                <w:bCs/>
                <w:color w:val="1F3864" w:themeColor="accent1" w:themeShade="80"/>
              </w:rPr>
              <w:t xml:space="preserve">exception </w:t>
            </w:r>
            <w:r w:rsidRPr="00816610">
              <w:rPr>
                <w:rFonts w:eastAsia="Times New Roman"/>
                <w:b/>
                <w:bCs/>
                <w:color w:val="1F3864" w:themeColor="accent1" w:themeShade="80"/>
              </w:rPr>
              <w:t xml:space="preserve">using the process set out in </w:t>
            </w:r>
            <w:hyperlink r:id="rId10" w:history="1">
              <w:r w:rsidRPr="00D764BA">
                <w:rPr>
                  <w:rStyle w:val="Hyperlink"/>
                  <w:rFonts w:eastAsia="Times New Roman"/>
                  <w:color w:val="0070C0"/>
                </w:rPr>
                <w:t>nys-p23-002-technology-exception-policy.pdf</w:t>
              </w:r>
            </w:hyperlink>
            <w:r w:rsidRPr="004C5D77">
              <w:rPr>
                <w:rFonts w:eastAsia="Times New Roman"/>
                <w:color w:val="1F3864" w:themeColor="accent1" w:themeShade="80"/>
              </w:rPr>
              <w:t xml:space="preserve">. </w:t>
            </w:r>
            <w:r w:rsidRPr="00816610">
              <w:rPr>
                <w:rFonts w:eastAsia="Times New Roman"/>
                <w:b/>
                <w:bCs/>
                <w:color w:val="1F3864" w:themeColor="accent1" w:themeShade="80"/>
              </w:rPr>
              <w:t xml:space="preserve">Given compliance with the ITS policies is required, the Bidder should provide </w:t>
            </w:r>
            <w:r w:rsidR="00D764BA">
              <w:rPr>
                <w:rFonts w:eastAsia="Times New Roman"/>
                <w:b/>
                <w:bCs/>
                <w:color w:val="1F3864" w:themeColor="accent1" w:themeShade="80"/>
              </w:rPr>
              <w:t xml:space="preserve">with its Proposal submission </w:t>
            </w:r>
            <w:r w:rsidRPr="00816610">
              <w:rPr>
                <w:rFonts w:eastAsia="Times New Roman"/>
                <w:b/>
                <w:bCs/>
                <w:color w:val="1F3864" w:themeColor="accent1" w:themeShade="80"/>
              </w:rPr>
              <w:t xml:space="preserve">a summary of the reasons that an </w:t>
            </w:r>
            <w:r w:rsidR="00804A66" w:rsidRPr="00816610">
              <w:rPr>
                <w:rFonts w:eastAsia="Times New Roman"/>
                <w:b/>
                <w:bCs/>
                <w:color w:val="1F3864" w:themeColor="accent1" w:themeShade="80"/>
              </w:rPr>
              <w:t xml:space="preserve">exception </w:t>
            </w:r>
            <w:r w:rsidRPr="00816610">
              <w:rPr>
                <w:rFonts w:eastAsia="Times New Roman"/>
                <w:b/>
                <w:bCs/>
                <w:color w:val="1F3864" w:themeColor="accent1" w:themeShade="80"/>
              </w:rPr>
              <w:t xml:space="preserve">would be sought. </w:t>
            </w:r>
          </w:p>
        </w:tc>
      </w:tr>
      <w:tr w:rsidR="000B706C" w14:paraId="56EC8D3F" w14:textId="669DE068" w:rsidTr="00200073">
        <w:tc>
          <w:tcPr>
            <w:tcW w:w="535" w:type="dxa"/>
            <w:shd w:val="clear" w:color="auto" w:fill="BFBFBF" w:themeFill="background1" w:themeFillShade="BF"/>
          </w:tcPr>
          <w:p w14:paraId="32FFBCC6" w14:textId="64D1A5AE" w:rsidR="000B706C" w:rsidRPr="00191914" w:rsidRDefault="000B706C" w:rsidP="000B706C">
            <w:pPr>
              <w:spacing w:before="40" w:after="120"/>
              <w:rPr>
                <w:b/>
                <w:bCs/>
              </w:rPr>
            </w:pPr>
            <w:bookmarkStart w:id="2" w:name="_Hlk163122044"/>
            <w:r>
              <w:rPr>
                <w:b/>
                <w:bCs/>
              </w:rPr>
              <w:lastRenderedPageBreak/>
              <w:t>4</w:t>
            </w:r>
          </w:p>
        </w:tc>
        <w:tc>
          <w:tcPr>
            <w:tcW w:w="2160" w:type="dxa"/>
            <w:shd w:val="clear" w:color="auto" w:fill="F2F2F2" w:themeFill="background1" w:themeFillShade="F2"/>
          </w:tcPr>
          <w:p w14:paraId="59CDF43A" w14:textId="77777777" w:rsidR="000B706C" w:rsidRPr="00240094" w:rsidRDefault="000B706C" w:rsidP="000B706C">
            <w:pPr>
              <w:spacing w:before="40" w:after="120"/>
              <w:rPr>
                <w:b/>
                <w:bCs/>
                <w:i/>
                <w:iCs/>
              </w:rPr>
            </w:pPr>
            <w:r w:rsidRPr="00240094">
              <w:rPr>
                <w:b/>
                <w:bCs/>
              </w:rPr>
              <w:t xml:space="preserve">Table 2.2, </w:t>
            </w:r>
            <w:r w:rsidRPr="00240094">
              <w:rPr>
                <w:b/>
                <w:bCs/>
                <w:i/>
                <w:iCs/>
              </w:rPr>
              <w:t xml:space="preserve">Development / Support Service Requirements </w:t>
            </w:r>
          </w:p>
          <w:p w14:paraId="17F9BAC5" w14:textId="4D1F441D" w:rsidR="000B706C" w:rsidRPr="00D25BC5" w:rsidRDefault="000B706C" w:rsidP="000B706C">
            <w:pPr>
              <w:spacing w:before="40" w:after="120"/>
              <w:rPr>
                <w:b/>
                <w:bCs/>
              </w:rPr>
            </w:pPr>
            <w:r w:rsidRPr="00240094">
              <w:rPr>
                <w:b/>
                <w:bCs/>
              </w:rPr>
              <w:t>Requirement</w:t>
            </w:r>
            <w:r w:rsidRPr="00240094">
              <w:rPr>
                <w:b/>
                <w:bCs/>
                <w:i/>
                <w:iCs/>
              </w:rPr>
              <w:t xml:space="preserve"> </w:t>
            </w:r>
            <w:r w:rsidRPr="00240094">
              <w:rPr>
                <w:b/>
                <w:bCs/>
              </w:rPr>
              <w:t>17.4</w:t>
            </w:r>
          </w:p>
        </w:tc>
        <w:tc>
          <w:tcPr>
            <w:tcW w:w="540" w:type="dxa"/>
            <w:shd w:val="clear" w:color="auto" w:fill="F2F2F2" w:themeFill="background1" w:themeFillShade="F2"/>
          </w:tcPr>
          <w:p w14:paraId="627ECBF1" w14:textId="4384EDB8" w:rsidR="000B706C" w:rsidRPr="00D25BC5" w:rsidRDefault="000B706C" w:rsidP="000B706C">
            <w:pPr>
              <w:spacing w:before="40" w:after="120"/>
              <w:rPr>
                <w:b/>
                <w:bCs/>
              </w:rPr>
            </w:pPr>
            <w:r>
              <w:rPr>
                <w:b/>
                <w:bCs/>
              </w:rPr>
              <w:t>45</w:t>
            </w:r>
          </w:p>
        </w:tc>
        <w:tc>
          <w:tcPr>
            <w:tcW w:w="5400" w:type="dxa"/>
          </w:tcPr>
          <w:p w14:paraId="3562B51E" w14:textId="5DA075DF" w:rsidR="000B706C" w:rsidRPr="00416ABE" w:rsidRDefault="000B706C" w:rsidP="000B706C">
            <w:pPr>
              <w:spacing w:before="40" w:after="40"/>
              <w:jc w:val="both"/>
            </w:pPr>
            <w:r>
              <w:t>As the national bank subsidiary of a publicly traded company, Bank is unable to provide advance notice of such an event but can agree to prompt notification upon actual consummation of such an event.   Will the State consider revising this requirement accordingly?</w:t>
            </w:r>
          </w:p>
        </w:tc>
        <w:tc>
          <w:tcPr>
            <w:tcW w:w="5400" w:type="dxa"/>
            <w:shd w:val="clear" w:color="auto" w:fill="auto"/>
          </w:tcPr>
          <w:p w14:paraId="51B6EB31" w14:textId="2367C862" w:rsidR="000B706C" w:rsidRPr="00816610" w:rsidRDefault="00C60ECA" w:rsidP="000B706C">
            <w:pPr>
              <w:spacing w:before="40" w:after="40"/>
              <w:jc w:val="both"/>
              <w:rPr>
                <w:b/>
                <w:bCs/>
                <w:color w:val="1F3864" w:themeColor="accent1" w:themeShade="80"/>
              </w:rPr>
            </w:pPr>
            <w:r w:rsidRPr="00C60ECA">
              <w:rPr>
                <w:b/>
                <w:bCs/>
                <w:color w:val="1F3864" w:themeColor="accent1" w:themeShade="80"/>
              </w:rPr>
              <w:t xml:space="preserve">The Department has clarified </w:t>
            </w:r>
            <w:r w:rsidR="00557EB4">
              <w:rPr>
                <w:b/>
                <w:bCs/>
                <w:color w:val="1F3864" w:themeColor="accent1" w:themeShade="80"/>
              </w:rPr>
              <w:t xml:space="preserve">RFP Table 2.2, </w:t>
            </w:r>
            <w:r w:rsidR="004C5D77">
              <w:rPr>
                <w:b/>
                <w:bCs/>
                <w:color w:val="1F3864" w:themeColor="accent1" w:themeShade="80"/>
              </w:rPr>
              <w:t>R</w:t>
            </w:r>
            <w:r w:rsidRPr="00C60ECA">
              <w:rPr>
                <w:b/>
                <w:bCs/>
                <w:color w:val="1F3864" w:themeColor="accent1" w:themeShade="80"/>
              </w:rPr>
              <w:t xml:space="preserve">equirement </w:t>
            </w:r>
            <w:r w:rsidR="004C5D77">
              <w:rPr>
                <w:b/>
                <w:bCs/>
                <w:color w:val="1F3864" w:themeColor="accent1" w:themeShade="80"/>
              </w:rPr>
              <w:t xml:space="preserve">17.4 </w:t>
            </w:r>
            <w:r w:rsidRPr="00C60ECA">
              <w:rPr>
                <w:b/>
                <w:bCs/>
                <w:color w:val="1F3864" w:themeColor="accent1" w:themeShade="80"/>
              </w:rPr>
              <w:t xml:space="preserve">and </w:t>
            </w:r>
            <w:r w:rsidR="004C5D77">
              <w:rPr>
                <w:b/>
                <w:bCs/>
                <w:color w:val="1F3864" w:themeColor="accent1" w:themeShade="80"/>
              </w:rPr>
              <w:t xml:space="preserve">also </w:t>
            </w:r>
            <w:r w:rsidRPr="00C60ECA">
              <w:rPr>
                <w:b/>
                <w:bCs/>
                <w:color w:val="1F3864" w:themeColor="accent1" w:themeShade="80"/>
              </w:rPr>
              <w:t xml:space="preserve">amended </w:t>
            </w:r>
            <w:r w:rsidR="00557EB4">
              <w:rPr>
                <w:b/>
                <w:bCs/>
                <w:color w:val="1F3864" w:themeColor="accent1" w:themeShade="80"/>
              </w:rPr>
              <w:t xml:space="preserve">RFP Table 2.2, </w:t>
            </w:r>
            <w:r w:rsidRPr="00C60ECA">
              <w:rPr>
                <w:b/>
                <w:bCs/>
                <w:color w:val="1F3864" w:themeColor="accent1" w:themeShade="80"/>
              </w:rPr>
              <w:t>Requirement 1.2 concerning acceptable timeframes for notifications. See Amendment #2</w:t>
            </w:r>
            <w:r>
              <w:rPr>
                <w:b/>
                <w:bCs/>
                <w:color w:val="1F3864" w:themeColor="accent1" w:themeShade="80"/>
              </w:rPr>
              <w:t>.</w:t>
            </w:r>
          </w:p>
        </w:tc>
      </w:tr>
      <w:bookmarkEnd w:id="2"/>
      <w:tr w:rsidR="000B706C" w14:paraId="7FD91185" w14:textId="7169A8D7" w:rsidTr="000C664F">
        <w:tc>
          <w:tcPr>
            <w:tcW w:w="535" w:type="dxa"/>
            <w:shd w:val="clear" w:color="auto" w:fill="BFBFBF" w:themeFill="background1" w:themeFillShade="BF"/>
          </w:tcPr>
          <w:p w14:paraId="183C2CFB" w14:textId="20176F59" w:rsidR="000B706C" w:rsidRDefault="000B706C" w:rsidP="000B706C">
            <w:pPr>
              <w:spacing w:before="40" w:after="120"/>
              <w:rPr>
                <w:b/>
                <w:bCs/>
              </w:rPr>
            </w:pPr>
            <w:r>
              <w:rPr>
                <w:b/>
                <w:bCs/>
              </w:rPr>
              <w:t>5</w:t>
            </w:r>
          </w:p>
        </w:tc>
        <w:tc>
          <w:tcPr>
            <w:tcW w:w="2160" w:type="dxa"/>
            <w:shd w:val="clear" w:color="auto" w:fill="F2F2F2" w:themeFill="background1" w:themeFillShade="F2"/>
          </w:tcPr>
          <w:p w14:paraId="3E177562" w14:textId="77777777" w:rsidR="000B706C" w:rsidRPr="00200145" w:rsidRDefault="000B706C" w:rsidP="000B706C">
            <w:pPr>
              <w:spacing w:before="40" w:after="40"/>
              <w:rPr>
                <w:b/>
                <w:bCs/>
                <w:i/>
                <w:iCs/>
              </w:rPr>
            </w:pPr>
            <w:r w:rsidRPr="00200145">
              <w:rPr>
                <w:b/>
                <w:bCs/>
              </w:rPr>
              <w:t>Table 2.3</w:t>
            </w:r>
            <w:r>
              <w:rPr>
                <w:b/>
                <w:bCs/>
              </w:rPr>
              <w:t xml:space="preserve">, </w:t>
            </w:r>
            <w:r w:rsidRPr="00200145">
              <w:rPr>
                <w:b/>
                <w:bCs/>
                <w:i/>
                <w:iCs/>
              </w:rPr>
              <w:t xml:space="preserve">Cash Management Requirements </w:t>
            </w:r>
          </w:p>
          <w:p w14:paraId="579662C3" w14:textId="24FF1874" w:rsidR="000B706C" w:rsidRPr="00D25BC5" w:rsidRDefault="000B706C" w:rsidP="000B706C">
            <w:pPr>
              <w:spacing w:before="40" w:after="120"/>
              <w:rPr>
                <w:b/>
                <w:bCs/>
              </w:rPr>
            </w:pPr>
            <w:r>
              <w:rPr>
                <w:b/>
                <w:bCs/>
              </w:rPr>
              <w:t xml:space="preserve">Requirement </w:t>
            </w:r>
            <w:r w:rsidRPr="00200145">
              <w:rPr>
                <w:b/>
                <w:bCs/>
              </w:rPr>
              <w:t>5.1</w:t>
            </w:r>
          </w:p>
        </w:tc>
        <w:tc>
          <w:tcPr>
            <w:tcW w:w="540" w:type="dxa"/>
            <w:shd w:val="clear" w:color="auto" w:fill="F2F2F2" w:themeFill="background1" w:themeFillShade="F2"/>
          </w:tcPr>
          <w:p w14:paraId="3F57BAEA" w14:textId="6959EA89" w:rsidR="000B706C" w:rsidRPr="00D25BC5" w:rsidRDefault="000B706C" w:rsidP="000B706C">
            <w:pPr>
              <w:spacing w:before="40" w:after="120"/>
              <w:rPr>
                <w:b/>
                <w:bCs/>
              </w:rPr>
            </w:pPr>
            <w:r w:rsidRPr="00200145">
              <w:rPr>
                <w:b/>
                <w:bCs/>
              </w:rPr>
              <w:t>47</w:t>
            </w:r>
          </w:p>
        </w:tc>
        <w:tc>
          <w:tcPr>
            <w:tcW w:w="5400" w:type="dxa"/>
          </w:tcPr>
          <w:p w14:paraId="39878627" w14:textId="77777777" w:rsidR="000B706C" w:rsidRPr="00200145" w:rsidRDefault="000B706C" w:rsidP="000B706C">
            <w:pPr>
              <w:spacing w:before="40" w:after="120"/>
              <w:jc w:val="both"/>
            </w:pPr>
            <w:r w:rsidRPr="00200145">
              <w:t>Regarding the requirement below, please provide clarification what the Department considers to be “</w:t>
            </w:r>
            <w:r w:rsidRPr="00200145">
              <w:rPr>
                <w:i/>
                <w:iCs/>
              </w:rPr>
              <w:t>available</w:t>
            </w:r>
            <w:r w:rsidRPr="00200145">
              <w:t xml:space="preserve">.” Does the Department intend to sweep out the funds before they are fully collected, creating a negative collected balance position or would the Department only sweep out the collected balance? </w:t>
            </w:r>
          </w:p>
          <w:p w14:paraId="23AA8850" w14:textId="1F324DBA" w:rsidR="000B706C" w:rsidRPr="00416ABE" w:rsidRDefault="000B706C" w:rsidP="00017469">
            <w:pPr>
              <w:spacing w:before="40" w:after="120"/>
              <w:jc w:val="both"/>
            </w:pPr>
            <w:r w:rsidRPr="00200145">
              <w:lastRenderedPageBreak/>
              <w:t>“</w:t>
            </w:r>
            <w:r w:rsidRPr="00200145">
              <w:rPr>
                <w:i/>
                <w:iCs/>
              </w:rPr>
              <w:t>The Contractor must agree that check deposits will be immediately and fully credited to the Department’s/OSC’s bank accounts and available…</w:t>
            </w:r>
            <w:r w:rsidRPr="00200145">
              <w:t>”</w:t>
            </w:r>
          </w:p>
        </w:tc>
        <w:tc>
          <w:tcPr>
            <w:tcW w:w="5400" w:type="dxa"/>
            <w:shd w:val="clear" w:color="auto" w:fill="auto"/>
          </w:tcPr>
          <w:p w14:paraId="7D7F2B79" w14:textId="3E778116" w:rsidR="000B706C" w:rsidRPr="00816610" w:rsidRDefault="000C664F" w:rsidP="000B706C">
            <w:pPr>
              <w:spacing w:before="40" w:after="40"/>
              <w:jc w:val="both"/>
              <w:rPr>
                <w:b/>
                <w:bCs/>
                <w:color w:val="1F3864" w:themeColor="accent1" w:themeShade="80"/>
              </w:rPr>
            </w:pPr>
            <w:r w:rsidRPr="000C664F">
              <w:rPr>
                <w:b/>
                <w:bCs/>
                <w:color w:val="1F3864" w:themeColor="accent1" w:themeShade="80"/>
              </w:rPr>
              <w:lastRenderedPageBreak/>
              <w:t xml:space="preserve">The Department is still formulating its response to this question. This document will be updated with a response by end of day tomorrow, </w:t>
            </w:r>
            <w:r w:rsidR="00C21B91">
              <w:rPr>
                <w:b/>
                <w:bCs/>
                <w:color w:val="1F3864" w:themeColor="accent1" w:themeShade="80"/>
              </w:rPr>
              <w:t>Friday</w:t>
            </w:r>
            <w:r w:rsidRPr="000C664F">
              <w:rPr>
                <w:b/>
                <w:bCs/>
                <w:color w:val="1F3864" w:themeColor="accent1" w:themeShade="80"/>
              </w:rPr>
              <w:t>, April 5, 2024</w:t>
            </w:r>
          </w:p>
        </w:tc>
      </w:tr>
      <w:tr w:rsidR="000B706C" w14:paraId="4D945864" w14:textId="12B3CC67" w:rsidTr="00200073">
        <w:tc>
          <w:tcPr>
            <w:tcW w:w="535" w:type="dxa"/>
            <w:shd w:val="clear" w:color="auto" w:fill="BFBFBF" w:themeFill="background1" w:themeFillShade="BF"/>
          </w:tcPr>
          <w:p w14:paraId="2B7BCEDE" w14:textId="15A47B20" w:rsidR="000B706C" w:rsidRPr="00191914" w:rsidRDefault="000B706C" w:rsidP="000B706C">
            <w:pPr>
              <w:spacing w:before="40" w:after="120"/>
              <w:rPr>
                <w:b/>
                <w:bCs/>
              </w:rPr>
            </w:pPr>
            <w:bookmarkStart w:id="3" w:name="_Hlk159504218"/>
            <w:r>
              <w:rPr>
                <w:b/>
                <w:bCs/>
              </w:rPr>
              <w:t>6</w:t>
            </w:r>
          </w:p>
        </w:tc>
        <w:tc>
          <w:tcPr>
            <w:tcW w:w="2160" w:type="dxa"/>
            <w:shd w:val="clear" w:color="auto" w:fill="F2F2F2" w:themeFill="background1" w:themeFillShade="F2"/>
          </w:tcPr>
          <w:p w14:paraId="47BBF5D6" w14:textId="62143A2A" w:rsidR="000B706C" w:rsidRPr="00D25BC5" w:rsidRDefault="000B706C" w:rsidP="000B706C">
            <w:pPr>
              <w:spacing w:before="40" w:after="120"/>
              <w:rPr>
                <w:b/>
                <w:bCs/>
              </w:rPr>
            </w:pPr>
            <w:r w:rsidRPr="00240094">
              <w:rPr>
                <w:b/>
                <w:bCs/>
              </w:rPr>
              <w:t xml:space="preserve">Table 2.5, </w:t>
            </w:r>
            <w:r w:rsidRPr="00240094">
              <w:rPr>
                <w:b/>
                <w:bCs/>
                <w:i/>
                <w:iCs/>
              </w:rPr>
              <w:t>Financial Stability Requirements</w:t>
            </w:r>
            <w:r w:rsidRPr="00240094">
              <w:rPr>
                <w:b/>
                <w:bCs/>
              </w:rPr>
              <w:t xml:space="preserve">  </w:t>
            </w:r>
          </w:p>
        </w:tc>
        <w:tc>
          <w:tcPr>
            <w:tcW w:w="540" w:type="dxa"/>
            <w:shd w:val="clear" w:color="auto" w:fill="F2F2F2" w:themeFill="background1" w:themeFillShade="F2"/>
          </w:tcPr>
          <w:p w14:paraId="10D2EEC2" w14:textId="3D08384C" w:rsidR="000B706C" w:rsidRPr="00D25BC5" w:rsidRDefault="000B706C" w:rsidP="000B706C">
            <w:pPr>
              <w:spacing w:before="40" w:after="120"/>
              <w:rPr>
                <w:b/>
                <w:bCs/>
              </w:rPr>
            </w:pPr>
            <w:r>
              <w:rPr>
                <w:b/>
                <w:bCs/>
              </w:rPr>
              <w:t>50-53</w:t>
            </w:r>
          </w:p>
        </w:tc>
        <w:tc>
          <w:tcPr>
            <w:tcW w:w="5400" w:type="dxa"/>
          </w:tcPr>
          <w:p w14:paraId="071E3E0E" w14:textId="7F6489AE" w:rsidR="000B706C" w:rsidRPr="00416ABE" w:rsidRDefault="000B706C" w:rsidP="000B706C">
            <w:pPr>
              <w:spacing w:before="40" w:after="40"/>
              <w:jc w:val="both"/>
            </w:pPr>
            <w:r>
              <w:t>Is the State willing to negotiate modifications to this provision upon award or conditional award that the Bank considers non-material?  As a national bank subject to federal oversight (and a wholly owned subsidiary of a publicly traded company), much of the information sought is already publicly available; and, to the extent it is not, may be subject to conflicting confidentiality requirements.</w:t>
            </w:r>
          </w:p>
        </w:tc>
        <w:tc>
          <w:tcPr>
            <w:tcW w:w="5400" w:type="dxa"/>
            <w:shd w:val="clear" w:color="auto" w:fill="auto"/>
          </w:tcPr>
          <w:p w14:paraId="16B5403F" w14:textId="03C46693" w:rsidR="000B706C" w:rsidRPr="00816610" w:rsidRDefault="00D26C96" w:rsidP="00D26C96">
            <w:pPr>
              <w:spacing w:before="60" w:after="40"/>
              <w:jc w:val="both"/>
              <w:rPr>
                <w:b/>
                <w:bCs/>
                <w:color w:val="1F3864" w:themeColor="accent1" w:themeShade="80"/>
              </w:rPr>
            </w:pPr>
            <w:r w:rsidRPr="00816610">
              <w:rPr>
                <w:b/>
                <w:bCs/>
                <w:color w:val="1F3864" w:themeColor="accent1" w:themeShade="80"/>
              </w:rPr>
              <w:t>The State does not negotiate mandatory RFP requirements. However, the information required to satisfy the requirement may be provided as a link to publicly available information. For the financial stability</w:t>
            </w:r>
            <w:r w:rsidR="00D764BA">
              <w:rPr>
                <w:b/>
                <w:bCs/>
                <w:color w:val="1F3864" w:themeColor="accent1" w:themeShade="80"/>
              </w:rPr>
              <w:t>-</w:t>
            </w:r>
            <w:r w:rsidRPr="00816610">
              <w:rPr>
                <w:b/>
                <w:bCs/>
                <w:color w:val="1F3864" w:themeColor="accent1" w:themeShade="80"/>
              </w:rPr>
              <w:t xml:space="preserve">related information subject to </w:t>
            </w:r>
            <w:r w:rsidR="00D764BA">
              <w:rPr>
                <w:b/>
                <w:bCs/>
                <w:color w:val="1F3864" w:themeColor="accent1" w:themeShade="80"/>
              </w:rPr>
              <w:t>“</w:t>
            </w:r>
            <w:r w:rsidRPr="00671AB3">
              <w:rPr>
                <w:b/>
                <w:bCs/>
                <w:i/>
                <w:iCs/>
                <w:color w:val="1F3864" w:themeColor="accent1" w:themeShade="80"/>
              </w:rPr>
              <w:t>conflicting confidentiality requirements</w:t>
            </w:r>
            <w:r w:rsidRPr="00816610">
              <w:rPr>
                <w:b/>
                <w:bCs/>
                <w:color w:val="1F3864" w:themeColor="accent1" w:themeShade="80"/>
              </w:rPr>
              <w:t>,</w:t>
            </w:r>
            <w:r w:rsidR="00D764BA">
              <w:rPr>
                <w:b/>
                <w:bCs/>
                <w:color w:val="1F3864" w:themeColor="accent1" w:themeShade="80"/>
              </w:rPr>
              <w:t>”</w:t>
            </w:r>
            <w:r w:rsidRPr="00816610">
              <w:rPr>
                <w:b/>
                <w:bCs/>
                <w:color w:val="1F3864" w:themeColor="accent1" w:themeShade="80"/>
              </w:rPr>
              <w:t xml:space="preserve"> the Bidder may explain the reason and request </w:t>
            </w:r>
            <w:r w:rsidR="00D764BA">
              <w:rPr>
                <w:b/>
                <w:bCs/>
                <w:color w:val="1F3864" w:themeColor="accent1" w:themeShade="80"/>
              </w:rPr>
              <w:t xml:space="preserve">an </w:t>
            </w:r>
            <w:r w:rsidRPr="00816610">
              <w:rPr>
                <w:b/>
                <w:bCs/>
                <w:color w:val="1F3864" w:themeColor="accent1" w:themeShade="80"/>
              </w:rPr>
              <w:t>exemption from disclosure.</w:t>
            </w:r>
          </w:p>
        </w:tc>
      </w:tr>
      <w:bookmarkEnd w:id="3"/>
      <w:tr w:rsidR="000B706C" w14:paraId="78A17B37" w14:textId="426E6689" w:rsidTr="00200073">
        <w:tc>
          <w:tcPr>
            <w:tcW w:w="535" w:type="dxa"/>
            <w:shd w:val="clear" w:color="auto" w:fill="BFBFBF" w:themeFill="background1" w:themeFillShade="BF"/>
          </w:tcPr>
          <w:p w14:paraId="4F0FCD0B" w14:textId="3CC1DA68" w:rsidR="000B706C" w:rsidRPr="00191914" w:rsidRDefault="000B706C" w:rsidP="000B706C">
            <w:pPr>
              <w:spacing w:before="40"/>
              <w:rPr>
                <w:b/>
                <w:bCs/>
              </w:rPr>
            </w:pPr>
            <w:r>
              <w:rPr>
                <w:b/>
                <w:bCs/>
              </w:rPr>
              <w:t>7</w:t>
            </w:r>
          </w:p>
        </w:tc>
        <w:tc>
          <w:tcPr>
            <w:tcW w:w="2160" w:type="dxa"/>
            <w:shd w:val="clear" w:color="auto" w:fill="F2F2F2" w:themeFill="background1" w:themeFillShade="F2"/>
          </w:tcPr>
          <w:p w14:paraId="2C39FB3C" w14:textId="73E4AEE1" w:rsidR="000B706C" w:rsidRPr="00D25BC5" w:rsidRDefault="000B706C" w:rsidP="000B706C">
            <w:pPr>
              <w:spacing w:before="40" w:after="120"/>
              <w:rPr>
                <w:b/>
                <w:bCs/>
              </w:rPr>
            </w:pPr>
            <w:r>
              <w:rPr>
                <w:b/>
                <w:bCs/>
              </w:rPr>
              <w:t>RFP Section</w:t>
            </w:r>
            <w:r w:rsidRPr="00AF6E65">
              <w:rPr>
                <w:b/>
                <w:bCs/>
              </w:rPr>
              <w:t xml:space="preserve"> 4.2.8</w:t>
            </w:r>
            <w:r>
              <w:t xml:space="preserve">, </w:t>
            </w:r>
            <w:r w:rsidRPr="00240094">
              <w:rPr>
                <w:b/>
                <w:bCs/>
                <w:i/>
                <w:iCs/>
              </w:rPr>
              <w:t>Cooperation with Investigations</w:t>
            </w:r>
          </w:p>
        </w:tc>
        <w:tc>
          <w:tcPr>
            <w:tcW w:w="540" w:type="dxa"/>
            <w:shd w:val="clear" w:color="auto" w:fill="F2F2F2" w:themeFill="background1" w:themeFillShade="F2"/>
          </w:tcPr>
          <w:p w14:paraId="4767F747" w14:textId="2715EB8B" w:rsidR="000B706C" w:rsidRPr="00D25BC5" w:rsidRDefault="000B706C" w:rsidP="000B706C">
            <w:pPr>
              <w:spacing w:before="40" w:after="120"/>
              <w:rPr>
                <w:b/>
                <w:bCs/>
              </w:rPr>
            </w:pPr>
            <w:r>
              <w:rPr>
                <w:b/>
                <w:bCs/>
              </w:rPr>
              <w:t>66</w:t>
            </w:r>
          </w:p>
        </w:tc>
        <w:tc>
          <w:tcPr>
            <w:tcW w:w="5400" w:type="dxa"/>
          </w:tcPr>
          <w:p w14:paraId="7A862765" w14:textId="0EFA0C70" w:rsidR="000B706C" w:rsidRPr="00416ABE" w:rsidRDefault="000B706C" w:rsidP="000B706C">
            <w:pPr>
              <w:spacing w:before="40" w:after="120"/>
              <w:jc w:val="both"/>
            </w:pPr>
            <w:r>
              <w:t xml:space="preserve">Is the State willing to negotiate modifications to this provision upon award or conditional award that the Bank considers non-material?  Specifically, to avoid regulatory conflicts, the Bank would like to qualify this provision with “to the extent both permitted and required under law.” </w:t>
            </w:r>
            <w:r w:rsidRPr="00017469">
              <w:t>Additionally for regulatory reasons, the Bank cannot grant the State sole discretion to interview representatives without Bank representation.</w:t>
            </w:r>
          </w:p>
        </w:tc>
        <w:tc>
          <w:tcPr>
            <w:tcW w:w="5400" w:type="dxa"/>
            <w:shd w:val="clear" w:color="auto" w:fill="auto"/>
          </w:tcPr>
          <w:p w14:paraId="2A36EF13" w14:textId="77777777" w:rsidR="00277CA9" w:rsidRPr="00816610" w:rsidRDefault="003D324E" w:rsidP="000B706C">
            <w:pPr>
              <w:spacing w:before="60" w:after="40"/>
              <w:jc w:val="both"/>
              <w:rPr>
                <w:b/>
                <w:bCs/>
                <w:color w:val="1F3864" w:themeColor="accent1" w:themeShade="80"/>
              </w:rPr>
            </w:pPr>
            <w:r w:rsidRPr="00816610">
              <w:rPr>
                <w:b/>
                <w:bCs/>
                <w:color w:val="1F3864" w:themeColor="accent1" w:themeShade="80"/>
              </w:rPr>
              <w:t xml:space="preserve">The State does not negotiate mandatory RFP requirements.  </w:t>
            </w:r>
          </w:p>
          <w:p w14:paraId="206071B5" w14:textId="5E383D7D" w:rsidR="000B706C" w:rsidRPr="00816610" w:rsidRDefault="003D324E" w:rsidP="000B706C">
            <w:pPr>
              <w:spacing w:before="60" w:after="40"/>
              <w:jc w:val="both"/>
              <w:rPr>
                <w:b/>
                <w:bCs/>
                <w:color w:val="1F3864" w:themeColor="accent1" w:themeShade="80"/>
              </w:rPr>
            </w:pPr>
            <w:r w:rsidRPr="00816610">
              <w:rPr>
                <w:b/>
                <w:bCs/>
                <w:color w:val="1F3864" w:themeColor="accent1" w:themeShade="80"/>
              </w:rPr>
              <w:t>However, the State has amended RFP Section 4.2.8</w:t>
            </w:r>
            <w:r w:rsidR="00017469" w:rsidRPr="00816610">
              <w:rPr>
                <w:b/>
                <w:bCs/>
                <w:color w:val="1F3864" w:themeColor="accent1" w:themeShade="80"/>
              </w:rPr>
              <w:t xml:space="preserve">, </w:t>
            </w:r>
            <w:r w:rsidR="00277CA9" w:rsidRPr="00816610">
              <w:rPr>
                <w:b/>
                <w:bCs/>
                <w:i/>
                <w:iCs/>
                <w:color w:val="1F3864" w:themeColor="accent1" w:themeShade="80"/>
              </w:rPr>
              <w:t>Cooperation with Investigations</w:t>
            </w:r>
            <w:r w:rsidRPr="00816610">
              <w:rPr>
                <w:b/>
                <w:bCs/>
                <w:color w:val="1F3864" w:themeColor="accent1" w:themeShade="80"/>
              </w:rPr>
              <w:t>. See Amendment #2.</w:t>
            </w:r>
          </w:p>
        </w:tc>
      </w:tr>
      <w:tr w:rsidR="000B706C" w14:paraId="345D2B7E" w14:textId="2EF701B9" w:rsidTr="00200073">
        <w:tc>
          <w:tcPr>
            <w:tcW w:w="535" w:type="dxa"/>
            <w:shd w:val="clear" w:color="auto" w:fill="BFBFBF" w:themeFill="background1" w:themeFillShade="BF"/>
          </w:tcPr>
          <w:p w14:paraId="6600D820" w14:textId="29DE8CB6" w:rsidR="000B706C" w:rsidRPr="00191914" w:rsidRDefault="000B706C" w:rsidP="000B706C">
            <w:pPr>
              <w:spacing w:before="40"/>
              <w:rPr>
                <w:b/>
                <w:bCs/>
              </w:rPr>
            </w:pPr>
            <w:r>
              <w:rPr>
                <w:b/>
                <w:bCs/>
              </w:rPr>
              <w:t>8</w:t>
            </w:r>
          </w:p>
        </w:tc>
        <w:tc>
          <w:tcPr>
            <w:tcW w:w="2160" w:type="dxa"/>
            <w:shd w:val="clear" w:color="auto" w:fill="F2F2F2" w:themeFill="background1" w:themeFillShade="F2"/>
          </w:tcPr>
          <w:p w14:paraId="49703A3C" w14:textId="59C8EBD8" w:rsidR="000B706C" w:rsidRPr="00BC69BF" w:rsidRDefault="000B706C" w:rsidP="000B706C">
            <w:pPr>
              <w:spacing w:before="40" w:after="120"/>
              <w:rPr>
                <w:b/>
                <w:bCs/>
                <w:sz w:val="20"/>
                <w:szCs w:val="20"/>
              </w:rPr>
            </w:pPr>
            <w:r>
              <w:rPr>
                <w:b/>
                <w:bCs/>
              </w:rPr>
              <w:t xml:space="preserve">Section 5.2, </w:t>
            </w:r>
            <w:r w:rsidRPr="00240094">
              <w:rPr>
                <w:b/>
                <w:bCs/>
                <w:i/>
                <w:iCs/>
              </w:rPr>
              <w:t>Proposal Submission</w:t>
            </w:r>
            <w:r>
              <w:rPr>
                <w:b/>
                <w:bCs/>
              </w:rPr>
              <w:t xml:space="preserve"> </w:t>
            </w:r>
          </w:p>
        </w:tc>
        <w:tc>
          <w:tcPr>
            <w:tcW w:w="540" w:type="dxa"/>
            <w:shd w:val="clear" w:color="auto" w:fill="F2F2F2" w:themeFill="background1" w:themeFillShade="F2"/>
          </w:tcPr>
          <w:p w14:paraId="7176FE3D" w14:textId="0C0CB37C" w:rsidR="000B706C" w:rsidRPr="00BC69BF" w:rsidRDefault="000B706C" w:rsidP="000B706C">
            <w:pPr>
              <w:spacing w:before="40" w:after="120"/>
              <w:rPr>
                <w:b/>
                <w:bCs/>
                <w:sz w:val="20"/>
                <w:szCs w:val="20"/>
              </w:rPr>
            </w:pPr>
            <w:r>
              <w:rPr>
                <w:b/>
                <w:bCs/>
              </w:rPr>
              <w:t>76-77</w:t>
            </w:r>
          </w:p>
        </w:tc>
        <w:tc>
          <w:tcPr>
            <w:tcW w:w="5400" w:type="dxa"/>
          </w:tcPr>
          <w:p w14:paraId="7D046052" w14:textId="5E4E52BE" w:rsidR="000B706C" w:rsidRPr="00416ABE" w:rsidRDefault="000B706C" w:rsidP="000B706C">
            <w:pPr>
              <w:spacing w:before="40" w:after="120"/>
              <w:jc w:val="both"/>
            </w:pPr>
            <w:r w:rsidRPr="00240094">
              <w:t>Would NYS Dept of Taxation and Finance consider accepting all electronic copies via email and eliminate paper copies as well as other digital media?</w:t>
            </w:r>
          </w:p>
        </w:tc>
        <w:tc>
          <w:tcPr>
            <w:tcW w:w="5400" w:type="dxa"/>
            <w:shd w:val="clear" w:color="auto" w:fill="auto"/>
          </w:tcPr>
          <w:p w14:paraId="5509EF4C" w14:textId="4CCC4401" w:rsidR="000B706C" w:rsidRPr="00816610" w:rsidRDefault="003D324E" w:rsidP="000B706C">
            <w:pPr>
              <w:spacing w:after="200"/>
              <w:jc w:val="both"/>
              <w:rPr>
                <w:b/>
                <w:bCs/>
                <w:color w:val="1F3864" w:themeColor="accent1" w:themeShade="80"/>
              </w:rPr>
            </w:pPr>
            <w:r w:rsidRPr="00816610">
              <w:rPr>
                <w:b/>
                <w:bCs/>
                <w:color w:val="1F3864" w:themeColor="accent1" w:themeShade="80"/>
              </w:rPr>
              <w:t>No, the Department requires original paper copies as specified in the RFP.</w:t>
            </w:r>
          </w:p>
        </w:tc>
      </w:tr>
      <w:tr w:rsidR="00AF11BD" w14:paraId="23351C02" w14:textId="792E0F52" w:rsidTr="006843D7">
        <w:tc>
          <w:tcPr>
            <w:tcW w:w="535" w:type="dxa"/>
            <w:shd w:val="clear" w:color="auto" w:fill="BFBFBF" w:themeFill="background1" w:themeFillShade="BF"/>
          </w:tcPr>
          <w:p w14:paraId="1C413ACD" w14:textId="2AD4B463" w:rsidR="00AF11BD" w:rsidRPr="00191914" w:rsidRDefault="00AF11BD" w:rsidP="00AF11BD">
            <w:pPr>
              <w:spacing w:before="40"/>
              <w:rPr>
                <w:b/>
                <w:bCs/>
              </w:rPr>
            </w:pPr>
            <w:bookmarkStart w:id="4" w:name="_Hlk163128151"/>
            <w:r>
              <w:rPr>
                <w:b/>
                <w:bCs/>
              </w:rPr>
              <w:t>9</w:t>
            </w:r>
          </w:p>
        </w:tc>
        <w:tc>
          <w:tcPr>
            <w:tcW w:w="2160" w:type="dxa"/>
            <w:shd w:val="clear" w:color="auto" w:fill="F2F2F2" w:themeFill="background1" w:themeFillShade="F2"/>
          </w:tcPr>
          <w:p w14:paraId="0D797E54" w14:textId="3D18F1F0" w:rsidR="00AF11BD" w:rsidRPr="00BC69BF" w:rsidRDefault="00AF11BD" w:rsidP="00AF11BD">
            <w:pPr>
              <w:spacing w:before="40" w:after="120"/>
              <w:rPr>
                <w:b/>
                <w:bCs/>
              </w:rPr>
            </w:pPr>
            <w:r w:rsidRPr="00200145">
              <w:rPr>
                <w:b/>
                <w:bCs/>
              </w:rPr>
              <w:t>Attachment 22</w:t>
            </w:r>
            <w:r>
              <w:rPr>
                <w:b/>
                <w:bCs/>
              </w:rPr>
              <w:t xml:space="preserve">, </w:t>
            </w:r>
            <w:r w:rsidRPr="00200145">
              <w:rPr>
                <w:b/>
                <w:bCs/>
                <w:i/>
                <w:iCs/>
              </w:rPr>
              <w:t>Cost Proposal Requirements Response Form</w:t>
            </w:r>
          </w:p>
        </w:tc>
        <w:tc>
          <w:tcPr>
            <w:tcW w:w="540" w:type="dxa"/>
            <w:shd w:val="clear" w:color="auto" w:fill="F2F2F2" w:themeFill="background1" w:themeFillShade="F2"/>
          </w:tcPr>
          <w:p w14:paraId="08F0044E" w14:textId="010651F8" w:rsidR="00AF11BD" w:rsidRPr="00BC69BF" w:rsidRDefault="00AF11BD" w:rsidP="00AF11BD">
            <w:pPr>
              <w:spacing w:before="40" w:after="120"/>
              <w:rPr>
                <w:b/>
                <w:bCs/>
              </w:rPr>
            </w:pPr>
            <w:r w:rsidRPr="00200145">
              <w:rPr>
                <w:b/>
                <w:bCs/>
              </w:rPr>
              <w:t>32</w:t>
            </w:r>
          </w:p>
        </w:tc>
        <w:tc>
          <w:tcPr>
            <w:tcW w:w="5400" w:type="dxa"/>
          </w:tcPr>
          <w:p w14:paraId="6A833909" w14:textId="77777777" w:rsidR="00AF11BD" w:rsidRPr="00200145" w:rsidRDefault="00AF11BD" w:rsidP="00AF11BD">
            <w:pPr>
              <w:spacing w:before="40" w:after="120"/>
              <w:jc w:val="both"/>
            </w:pPr>
            <w:r w:rsidRPr="00200145">
              <w:t>Would we be able to charge multiple bank charges under a single category on our account analysis statement as long as all related elements use the same unit price?</w:t>
            </w:r>
          </w:p>
          <w:p w14:paraId="7AE1E91E" w14:textId="472FF2F9" w:rsidR="00AF11BD" w:rsidRPr="00416ABE" w:rsidRDefault="00AF11BD" w:rsidP="00AF11BD">
            <w:pPr>
              <w:spacing w:before="40" w:after="120"/>
              <w:jc w:val="both"/>
            </w:pPr>
            <w:r w:rsidRPr="00200145">
              <w:t>For example, for Manual Deposits, if we use separate billing line items for Canadian vs Non-Canadian foreign checks deposited, are we able to charge for both elements as long as they both use the same fee quoted for Manual Deposits on our Cost Proposal?</w:t>
            </w:r>
          </w:p>
        </w:tc>
        <w:tc>
          <w:tcPr>
            <w:tcW w:w="5400" w:type="dxa"/>
            <w:shd w:val="clear" w:color="auto" w:fill="auto"/>
          </w:tcPr>
          <w:p w14:paraId="13DC47DA" w14:textId="002045EE" w:rsidR="00AF11BD" w:rsidRPr="0004675B" w:rsidRDefault="002330DE" w:rsidP="00AF11BD">
            <w:pPr>
              <w:spacing w:before="40" w:after="120"/>
              <w:jc w:val="both"/>
              <w:rPr>
                <w:b/>
                <w:bCs/>
                <w:color w:val="C00000"/>
              </w:rPr>
            </w:pPr>
            <w:r w:rsidRPr="00200073">
              <w:rPr>
                <w:b/>
                <w:bCs/>
                <w:color w:val="1F3864" w:themeColor="accent1" w:themeShade="80"/>
              </w:rPr>
              <w:t xml:space="preserve">Yes, this is acceptable. </w:t>
            </w:r>
            <w:r w:rsidR="00D26C96" w:rsidRPr="00200073">
              <w:rPr>
                <w:b/>
                <w:bCs/>
                <w:color w:val="1F3864" w:themeColor="accent1" w:themeShade="80"/>
              </w:rPr>
              <w:t>However, it should be noted that any foreign check</w:t>
            </w:r>
            <w:r w:rsidR="00D764BA">
              <w:rPr>
                <w:b/>
                <w:bCs/>
                <w:color w:val="1F3864" w:themeColor="accent1" w:themeShade="80"/>
              </w:rPr>
              <w:t xml:space="preserve"> to be processed</w:t>
            </w:r>
            <w:r w:rsidR="00D26C96" w:rsidRPr="00200073">
              <w:rPr>
                <w:b/>
                <w:bCs/>
                <w:color w:val="1F3864" w:themeColor="accent1" w:themeShade="80"/>
              </w:rPr>
              <w:t xml:space="preserve"> must be</w:t>
            </w:r>
            <w:r w:rsidR="00D764BA">
              <w:rPr>
                <w:b/>
                <w:bCs/>
                <w:color w:val="1F3864" w:themeColor="accent1" w:themeShade="80"/>
              </w:rPr>
              <w:t xml:space="preserve"> made payable</w:t>
            </w:r>
            <w:r w:rsidR="00D26C96" w:rsidRPr="00200073">
              <w:rPr>
                <w:b/>
                <w:bCs/>
                <w:color w:val="1F3864" w:themeColor="accent1" w:themeShade="80"/>
              </w:rPr>
              <w:t xml:space="preserve"> in US funds, in </w:t>
            </w:r>
            <w:r w:rsidR="00D26C96" w:rsidRPr="006843D7">
              <w:rPr>
                <w:b/>
                <w:bCs/>
                <w:color w:val="1F3864" w:themeColor="accent1" w:themeShade="80"/>
              </w:rPr>
              <w:t xml:space="preserve">accordance with </w:t>
            </w:r>
            <w:r w:rsidR="00557EB4" w:rsidRPr="006843D7">
              <w:rPr>
                <w:b/>
                <w:bCs/>
                <w:color w:val="1F3864" w:themeColor="accent1" w:themeShade="80"/>
              </w:rPr>
              <w:t xml:space="preserve">RFP </w:t>
            </w:r>
            <w:r w:rsidR="004C5D77" w:rsidRPr="006843D7">
              <w:rPr>
                <w:b/>
                <w:bCs/>
                <w:color w:val="1F3864" w:themeColor="accent1" w:themeShade="80"/>
              </w:rPr>
              <w:t>Table</w:t>
            </w:r>
            <w:r w:rsidR="00D26C96" w:rsidRPr="006843D7">
              <w:rPr>
                <w:b/>
                <w:bCs/>
                <w:color w:val="1F3864" w:themeColor="accent1" w:themeShade="80"/>
              </w:rPr>
              <w:t xml:space="preserve"> 2.1</w:t>
            </w:r>
            <w:r w:rsidR="004C5D77" w:rsidRPr="006843D7">
              <w:rPr>
                <w:b/>
                <w:bCs/>
                <w:color w:val="1F3864" w:themeColor="accent1" w:themeShade="80"/>
              </w:rPr>
              <w:t>,</w:t>
            </w:r>
            <w:r w:rsidR="00D26C96" w:rsidRPr="006843D7">
              <w:rPr>
                <w:b/>
                <w:bCs/>
                <w:color w:val="1F3864" w:themeColor="accent1" w:themeShade="80"/>
              </w:rPr>
              <w:t xml:space="preserve"> Requirement 4.3.</w:t>
            </w:r>
            <w:r w:rsidR="0004675B" w:rsidRPr="006843D7">
              <w:rPr>
                <w:b/>
                <w:bCs/>
                <w:color w:val="1F3864" w:themeColor="accent1" w:themeShade="80"/>
              </w:rPr>
              <w:t xml:space="preserve"> </w:t>
            </w:r>
            <w:r w:rsidR="006843D7" w:rsidRPr="006843D7">
              <w:rPr>
                <w:b/>
                <w:bCs/>
                <w:color w:val="1F3864" w:themeColor="accent1" w:themeShade="80"/>
              </w:rPr>
              <w:t xml:space="preserve">Additionally, the Transaction Fees proposed on Attachment 22 must only be charged once per </w:t>
            </w:r>
            <w:r w:rsidR="00D764BA">
              <w:rPr>
                <w:b/>
                <w:bCs/>
                <w:color w:val="1F3864" w:themeColor="accent1" w:themeShade="80"/>
              </w:rPr>
              <w:t xml:space="preserve">check deposit </w:t>
            </w:r>
            <w:r w:rsidR="006843D7" w:rsidRPr="006843D7">
              <w:rPr>
                <w:b/>
                <w:bCs/>
                <w:color w:val="1F3864" w:themeColor="accent1" w:themeShade="80"/>
              </w:rPr>
              <w:t>transaction.</w:t>
            </w:r>
          </w:p>
          <w:p w14:paraId="770EBF63" w14:textId="5D6349E6" w:rsidR="0004675B" w:rsidRPr="00200073" w:rsidRDefault="0004675B" w:rsidP="00AF11BD">
            <w:pPr>
              <w:spacing w:before="40" w:after="120"/>
              <w:jc w:val="both"/>
              <w:rPr>
                <w:b/>
                <w:bCs/>
                <w:color w:val="1F3864" w:themeColor="accent1" w:themeShade="80"/>
              </w:rPr>
            </w:pPr>
            <w:r w:rsidRPr="0004675B">
              <w:rPr>
                <w:b/>
                <w:bCs/>
                <w:color w:val="C00000"/>
              </w:rPr>
              <w:t xml:space="preserve"> </w:t>
            </w:r>
          </w:p>
        </w:tc>
      </w:tr>
      <w:bookmarkEnd w:id="4"/>
      <w:tr w:rsidR="00D26C96" w14:paraId="63074EF2" w14:textId="77777777" w:rsidTr="000C664F">
        <w:tc>
          <w:tcPr>
            <w:tcW w:w="535" w:type="dxa"/>
            <w:shd w:val="clear" w:color="auto" w:fill="BFBFBF" w:themeFill="background1" w:themeFillShade="BF"/>
          </w:tcPr>
          <w:p w14:paraId="28D1A43F" w14:textId="1589248F" w:rsidR="00D26C96" w:rsidRDefault="00D26C96" w:rsidP="00D26C96">
            <w:pPr>
              <w:spacing w:before="40"/>
              <w:rPr>
                <w:b/>
                <w:bCs/>
              </w:rPr>
            </w:pPr>
            <w:r>
              <w:rPr>
                <w:b/>
                <w:bCs/>
              </w:rPr>
              <w:lastRenderedPageBreak/>
              <w:t>10</w:t>
            </w:r>
          </w:p>
        </w:tc>
        <w:tc>
          <w:tcPr>
            <w:tcW w:w="2160" w:type="dxa"/>
            <w:shd w:val="clear" w:color="auto" w:fill="F2F2F2" w:themeFill="background1" w:themeFillShade="F2"/>
          </w:tcPr>
          <w:p w14:paraId="0D96BCF0" w14:textId="494C3D38" w:rsidR="00D26C96" w:rsidRPr="00BC69BF" w:rsidRDefault="00D26C96" w:rsidP="00D26C96">
            <w:pPr>
              <w:spacing w:before="40" w:after="120"/>
              <w:rPr>
                <w:b/>
                <w:bCs/>
              </w:rPr>
            </w:pPr>
            <w:r w:rsidRPr="00200145">
              <w:rPr>
                <w:b/>
                <w:bCs/>
              </w:rPr>
              <w:t>Exhibit B</w:t>
            </w:r>
            <w:r>
              <w:rPr>
                <w:b/>
                <w:bCs/>
              </w:rPr>
              <w:t xml:space="preserve">, </w:t>
            </w:r>
            <w:r w:rsidRPr="00200145">
              <w:rPr>
                <w:b/>
                <w:bCs/>
                <w:i/>
                <w:iCs/>
              </w:rPr>
              <w:t>Volumes</w:t>
            </w:r>
          </w:p>
        </w:tc>
        <w:tc>
          <w:tcPr>
            <w:tcW w:w="540" w:type="dxa"/>
            <w:shd w:val="clear" w:color="auto" w:fill="F2F2F2" w:themeFill="background1" w:themeFillShade="F2"/>
          </w:tcPr>
          <w:p w14:paraId="6ADAF191" w14:textId="0CD55AD3" w:rsidR="00D26C96" w:rsidRPr="00BC69BF" w:rsidRDefault="00D26C96" w:rsidP="00D26C96">
            <w:pPr>
              <w:spacing w:before="40" w:after="120"/>
              <w:rPr>
                <w:b/>
                <w:bCs/>
              </w:rPr>
            </w:pPr>
            <w:r w:rsidRPr="00200145">
              <w:rPr>
                <w:b/>
                <w:bCs/>
              </w:rPr>
              <w:t>7</w:t>
            </w:r>
          </w:p>
        </w:tc>
        <w:tc>
          <w:tcPr>
            <w:tcW w:w="5400" w:type="dxa"/>
          </w:tcPr>
          <w:p w14:paraId="6C723239" w14:textId="7009FD15" w:rsidR="00D26C96" w:rsidRPr="00416ABE" w:rsidRDefault="00D26C96" w:rsidP="00D26C96">
            <w:pPr>
              <w:spacing w:before="40" w:after="120"/>
              <w:jc w:val="both"/>
            </w:pPr>
            <w:r w:rsidRPr="00200145">
              <w:t>How many unique credits post to the bank accounts for Manual Deposits on an annual basis?</w:t>
            </w:r>
          </w:p>
        </w:tc>
        <w:tc>
          <w:tcPr>
            <w:tcW w:w="5400" w:type="dxa"/>
            <w:shd w:val="clear" w:color="auto" w:fill="auto"/>
          </w:tcPr>
          <w:p w14:paraId="0FDDAA1E" w14:textId="77777777" w:rsidR="00D26C96" w:rsidRDefault="00D26C96" w:rsidP="00D26C96">
            <w:pPr>
              <w:spacing w:before="40" w:after="120"/>
              <w:jc w:val="both"/>
              <w:rPr>
                <w:b/>
                <w:bCs/>
                <w:color w:val="1F3864" w:themeColor="accent1" w:themeShade="80"/>
              </w:rPr>
            </w:pPr>
            <w:r w:rsidRPr="00200073">
              <w:rPr>
                <w:b/>
                <w:bCs/>
                <w:color w:val="1F3864" w:themeColor="accent1" w:themeShade="80"/>
              </w:rPr>
              <w:t>The Department posts approximately 1,270 credits annually across all bank accounts.</w:t>
            </w:r>
          </w:p>
          <w:p w14:paraId="73FD99EF" w14:textId="33A65165" w:rsidR="00D764BA" w:rsidRPr="00200073" w:rsidRDefault="00D764BA" w:rsidP="00D26C96">
            <w:pPr>
              <w:spacing w:before="40" w:after="120"/>
              <w:jc w:val="both"/>
              <w:rPr>
                <w:b/>
                <w:bCs/>
                <w:color w:val="1F3864" w:themeColor="accent1" w:themeShade="80"/>
              </w:rPr>
            </w:pPr>
            <w:r w:rsidRPr="00D764BA">
              <w:rPr>
                <w:b/>
                <w:bCs/>
                <w:color w:val="1F3864" w:themeColor="accent1" w:themeShade="80"/>
              </w:rPr>
              <w:t xml:space="preserve">Note: </w:t>
            </w:r>
            <w:r>
              <w:rPr>
                <w:b/>
                <w:bCs/>
                <w:color w:val="1F3864" w:themeColor="accent1" w:themeShade="80"/>
              </w:rPr>
              <w:t xml:space="preserve">DTF interprets the phrase ‘unique credits’ to </w:t>
            </w:r>
            <w:r w:rsidRPr="00D764BA">
              <w:rPr>
                <w:b/>
                <w:bCs/>
                <w:color w:val="1F3864" w:themeColor="accent1" w:themeShade="80"/>
              </w:rPr>
              <w:t xml:space="preserve"> represent the number of times a credit is made to our account. For example, if we deposit 100 checks for $5,000 dollars, the unique credit is $5,000 dollars in the line item on our account statement</w:t>
            </w:r>
            <w:r>
              <w:rPr>
                <w:b/>
                <w:bCs/>
                <w:color w:val="1F3864" w:themeColor="accent1" w:themeShade="80"/>
              </w:rPr>
              <w:t>.</w:t>
            </w:r>
          </w:p>
        </w:tc>
      </w:tr>
      <w:tr w:rsidR="00D26C96" w14:paraId="3ABFBCE0" w14:textId="77777777" w:rsidTr="000C664F">
        <w:tc>
          <w:tcPr>
            <w:tcW w:w="535" w:type="dxa"/>
            <w:shd w:val="clear" w:color="auto" w:fill="BFBFBF" w:themeFill="background1" w:themeFillShade="BF"/>
          </w:tcPr>
          <w:p w14:paraId="74E8EA21" w14:textId="4A3F03D1" w:rsidR="00D26C96" w:rsidRDefault="00D26C96" w:rsidP="00D26C96">
            <w:pPr>
              <w:spacing w:before="40"/>
              <w:rPr>
                <w:b/>
                <w:bCs/>
              </w:rPr>
            </w:pPr>
            <w:r>
              <w:rPr>
                <w:b/>
                <w:bCs/>
              </w:rPr>
              <w:t>11</w:t>
            </w:r>
          </w:p>
        </w:tc>
        <w:tc>
          <w:tcPr>
            <w:tcW w:w="2160" w:type="dxa"/>
            <w:shd w:val="clear" w:color="auto" w:fill="F2F2F2" w:themeFill="background1" w:themeFillShade="F2"/>
          </w:tcPr>
          <w:p w14:paraId="266AE2BC" w14:textId="6E82460F" w:rsidR="00D26C96" w:rsidRPr="00BC69BF" w:rsidRDefault="00D26C96" w:rsidP="00D26C96">
            <w:pPr>
              <w:spacing w:before="40" w:after="120"/>
              <w:rPr>
                <w:b/>
                <w:bCs/>
              </w:rPr>
            </w:pPr>
            <w:r w:rsidRPr="00200145">
              <w:rPr>
                <w:b/>
                <w:bCs/>
              </w:rPr>
              <w:t>Exhibit B</w:t>
            </w:r>
            <w:r>
              <w:rPr>
                <w:b/>
                <w:bCs/>
              </w:rPr>
              <w:t xml:space="preserve">, </w:t>
            </w:r>
            <w:r w:rsidRPr="00200145">
              <w:rPr>
                <w:b/>
                <w:bCs/>
                <w:i/>
                <w:iCs/>
              </w:rPr>
              <w:t>Volumes</w:t>
            </w:r>
          </w:p>
        </w:tc>
        <w:tc>
          <w:tcPr>
            <w:tcW w:w="540" w:type="dxa"/>
            <w:shd w:val="clear" w:color="auto" w:fill="F2F2F2" w:themeFill="background1" w:themeFillShade="F2"/>
          </w:tcPr>
          <w:p w14:paraId="6D890BC1" w14:textId="16C6A530" w:rsidR="00D26C96" w:rsidRPr="00BC69BF" w:rsidRDefault="00D26C96" w:rsidP="00D26C96">
            <w:pPr>
              <w:spacing w:before="40" w:after="120"/>
              <w:rPr>
                <w:b/>
                <w:bCs/>
              </w:rPr>
            </w:pPr>
            <w:r w:rsidRPr="00200145">
              <w:rPr>
                <w:b/>
                <w:bCs/>
              </w:rPr>
              <w:t>7</w:t>
            </w:r>
          </w:p>
        </w:tc>
        <w:tc>
          <w:tcPr>
            <w:tcW w:w="5400" w:type="dxa"/>
          </w:tcPr>
          <w:p w14:paraId="3D94D390" w14:textId="5DBBE01A" w:rsidR="00D26C96" w:rsidRPr="00416ABE" w:rsidRDefault="00D26C96" w:rsidP="00D26C96">
            <w:pPr>
              <w:spacing w:before="40" w:after="120"/>
              <w:jc w:val="both"/>
            </w:pPr>
            <w:r w:rsidRPr="00200145">
              <w:t>How many unique credits post to the bank accounts for Electronic Payments deposits on an annual basis?</w:t>
            </w:r>
          </w:p>
        </w:tc>
        <w:tc>
          <w:tcPr>
            <w:tcW w:w="5400" w:type="dxa"/>
            <w:shd w:val="clear" w:color="auto" w:fill="auto"/>
          </w:tcPr>
          <w:p w14:paraId="021928DB" w14:textId="77777777" w:rsidR="00D26C96" w:rsidRDefault="00D26C96" w:rsidP="00D26C96">
            <w:pPr>
              <w:spacing w:before="40" w:after="120"/>
              <w:jc w:val="both"/>
              <w:rPr>
                <w:b/>
                <w:bCs/>
                <w:color w:val="1F3864" w:themeColor="accent1" w:themeShade="80"/>
              </w:rPr>
            </w:pPr>
            <w:r w:rsidRPr="00200073">
              <w:rPr>
                <w:b/>
                <w:bCs/>
                <w:color w:val="1F3864" w:themeColor="accent1" w:themeShade="80"/>
              </w:rPr>
              <w:t>The Department posts approximately 3,300 credits annually across all bank accounts.</w:t>
            </w:r>
          </w:p>
          <w:p w14:paraId="11851D3F" w14:textId="3C1322A7" w:rsidR="00D764BA" w:rsidRPr="00D764BA" w:rsidRDefault="00D764BA" w:rsidP="00D26C96">
            <w:pPr>
              <w:spacing w:before="40" w:after="120"/>
              <w:jc w:val="both"/>
              <w:rPr>
                <w:color w:val="1F3864" w:themeColor="accent1" w:themeShade="80"/>
              </w:rPr>
            </w:pPr>
            <w:r w:rsidRPr="00D764BA">
              <w:rPr>
                <w:b/>
                <w:bCs/>
                <w:color w:val="1F3864" w:themeColor="accent1" w:themeShade="80"/>
              </w:rPr>
              <w:t xml:space="preserve">Note: </w:t>
            </w:r>
            <w:r>
              <w:rPr>
                <w:b/>
                <w:bCs/>
                <w:color w:val="1F3864" w:themeColor="accent1" w:themeShade="80"/>
              </w:rPr>
              <w:t xml:space="preserve">DTF interprets the phrase ‘unique credits’ to </w:t>
            </w:r>
            <w:r w:rsidRPr="00D764BA">
              <w:rPr>
                <w:b/>
                <w:bCs/>
                <w:color w:val="1F3864" w:themeColor="accent1" w:themeShade="80"/>
              </w:rPr>
              <w:t xml:space="preserve"> represent the number of times a credit is made to our account. For example, if we deposit 100 checks for $5,000 dollars, the unique credit is $5,000 dollars in the line item on our account statement</w:t>
            </w:r>
            <w:r>
              <w:rPr>
                <w:b/>
                <w:bCs/>
                <w:color w:val="1F3864" w:themeColor="accent1" w:themeShade="80"/>
              </w:rPr>
              <w:t>.</w:t>
            </w:r>
          </w:p>
        </w:tc>
      </w:tr>
      <w:tr w:rsidR="00D26C96" w14:paraId="2383C244" w14:textId="77777777" w:rsidTr="00200073">
        <w:tc>
          <w:tcPr>
            <w:tcW w:w="535" w:type="dxa"/>
            <w:shd w:val="clear" w:color="auto" w:fill="BFBFBF" w:themeFill="background1" w:themeFillShade="BF"/>
          </w:tcPr>
          <w:p w14:paraId="2A6C9420" w14:textId="0B913218" w:rsidR="00D26C96" w:rsidRDefault="00D26C96" w:rsidP="00D26C96">
            <w:pPr>
              <w:spacing w:before="40"/>
              <w:rPr>
                <w:b/>
                <w:bCs/>
              </w:rPr>
            </w:pPr>
            <w:r>
              <w:rPr>
                <w:b/>
                <w:bCs/>
              </w:rPr>
              <w:t>12</w:t>
            </w:r>
          </w:p>
        </w:tc>
        <w:tc>
          <w:tcPr>
            <w:tcW w:w="2160" w:type="dxa"/>
            <w:shd w:val="clear" w:color="auto" w:fill="F2F2F2" w:themeFill="background1" w:themeFillShade="F2"/>
          </w:tcPr>
          <w:p w14:paraId="5C3B84BB" w14:textId="77777777" w:rsidR="00D26C96" w:rsidRPr="00200145" w:rsidRDefault="00D26C96" w:rsidP="00D26C96">
            <w:pPr>
              <w:spacing w:before="40" w:after="40"/>
              <w:rPr>
                <w:b/>
                <w:bCs/>
                <w:i/>
                <w:iCs/>
              </w:rPr>
            </w:pPr>
            <w:r w:rsidRPr="00200145">
              <w:rPr>
                <w:b/>
                <w:bCs/>
              </w:rPr>
              <w:t>Exhibit</w:t>
            </w:r>
            <w:r>
              <w:rPr>
                <w:b/>
                <w:bCs/>
              </w:rPr>
              <w:t xml:space="preserve"> B, </w:t>
            </w:r>
            <w:r w:rsidRPr="00200145">
              <w:rPr>
                <w:b/>
                <w:bCs/>
                <w:i/>
                <w:iCs/>
              </w:rPr>
              <w:t>Volumes</w:t>
            </w:r>
          </w:p>
          <w:p w14:paraId="227B4CEB" w14:textId="725FD4BE" w:rsidR="00D26C96" w:rsidRPr="00BC69BF" w:rsidRDefault="00D26C96" w:rsidP="00D26C96">
            <w:pPr>
              <w:spacing w:before="40" w:after="120"/>
              <w:rPr>
                <w:b/>
                <w:bCs/>
              </w:rPr>
            </w:pPr>
            <w:r w:rsidRPr="00200145">
              <w:rPr>
                <w:b/>
                <w:bCs/>
              </w:rPr>
              <w:t>Overdraft Information Table</w:t>
            </w:r>
          </w:p>
        </w:tc>
        <w:tc>
          <w:tcPr>
            <w:tcW w:w="540" w:type="dxa"/>
            <w:shd w:val="clear" w:color="auto" w:fill="F2F2F2" w:themeFill="background1" w:themeFillShade="F2"/>
          </w:tcPr>
          <w:p w14:paraId="6F429D2C" w14:textId="617182EB" w:rsidR="00D26C96" w:rsidRPr="00BC69BF" w:rsidRDefault="00D26C96" w:rsidP="00D26C96">
            <w:pPr>
              <w:spacing w:before="40" w:after="120"/>
              <w:rPr>
                <w:b/>
                <w:bCs/>
              </w:rPr>
            </w:pPr>
            <w:r w:rsidRPr="00200145">
              <w:rPr>
                <w:b/>
                <w:bCs/>
              </w:rPr>
              <w:t>8</w:t>
            </w:r>
          </w:p>
        </w:tc>
        <w:tc>
          <w:tcPr>
            <w:tcW w:w="5400" w:type="dxa"/>
          </w:tcPr>
          <w:p w14:paraId="69949DF6" w14:textId="5AB861FD" w:rsidR="00D26C96" w:rsidRPr="00416ABE" w:rsidRDefault="00D26C96" w:rsidP="00D26C96">
            <w:pPr>
              <w:spacing w:before="40" w:after="200"/>
              <w:jc w:val="both"/>
            </w:pPr>
            <w:r w:rsidRPr="00200145">
              <w:t>What is a typical cause of an account overdraft?</w:t>
            </w:r>
          </w:p>
        </w:tc>
        <w:tc>
          <w:tcPr>
            <w:tcW w:w="5400" w:type="dxa"/>
            <w:shd w:val="clear" w:color="auto" w:fill="auto"/>
          </w:tcPr>
          <w:p w14:paraId="057CE5AD" w14:textId="2DB0F6EA" w:rsidR="00D26C96" w:rsidRPr="00200073" w:rsidRDefault="00D26C96" w:rsidP="00D26C96">
            <w:pPr>
              <w:spacing w:before="40" w:after="120"/>
              <w:jc w:val="both"/>
              <w:rPr>
                <w:b/>
                <w:bCs/>
                <w:color w:val="1F3864" w:themeColor="accent1" w:themeShade="80"/>
              </w:rPr>
            </w:pPr>
            <w:r w:rsidRPr="00200073">
              <w:rPr>
                <w:b/>
                <w:bCs/>
                <w:color w:val="1F3864" w:themeColor="accent1" w:themeShade="80"/>
              </w:rPr>
              <w:t xml:space="preserve">The bank accounts are regularly </w:t>
            </w:r>
            <w:r w:rsidR="00816610" w:rsidRPr="00200073">
              <w:rPr>
                <w:b/>
                <w:bCs/>
                <w:color w:val="1F3864" w:themeColor="accent1" w:themeShade="80"/>
              </w:rPr>
              <w:t xml:space="preserve">swept </w:t>
            </w:r>
            <w:r w:rsidRPr="00200073">
              <w:rPr>
                <w:b/>
                <w:bCs/>
                <w:color w:val="1F3864" w:themeColor="accent1" w:themeShade="80"/>
              </w:rPr>
              <w:t xml:space="preserve">to certain fund balances. An overdraft can occur when an </w:t>
            </w:r>
            <w:r w:rsidR="00D764BA">
              <w:rPr>
                <w:b/>
                <w:bCs/>
                <w:color w:val="1F3864" w:themeColor="accent1" w:themeShade="80"/>
              </w:rPr>
              <w:t>unusually</w:t>
            </w:r>
            <w:r w:rsidRPr="00200073">
              <w:rPr>
                <w:b/>
                <w:bCs/>
                <w:color w:val="1F3864" w:themeColor="accent1" w:themeShade="80"/>
              </w:rPr>
              <w:t xml:space="preserve"> large item is returned and there is an insufficient fund balance to cover the returned item.</w:t>
            </w:r>
          </w:p>
        </w:tc>
      </w:tr>
      <w:tr w:rsidR="00AF11BD" w14:paraId="7E9A0A4D" w14:textId="77777777" w:rsidTr="000C664F">
        <w:tc>
          <w:tcPr>
            <w:tcW w:w="535" w:type="dxa"/>
            <w:shd w:val="clear" w:color="auto" w:fill="BFBFBF" w:themeFill="background1" w:themeFillShade="BF"/>
          </w:tcPr>
          <w:p w14:paraId="10C068D2" w14:textId="6E9400F9" w:rsidR="00AF11BD" w:rsidRDefault="00AF11BD" w:rsidP="00AF11BD">
            <w:pPr>
              <w:spacing w:before="40"/>
              <w:rPr>
                <w:b/>
                <w:bCs/>
              </w:rPr>
            </w:pPr>
            <w:bookmarkStart w:id="5" w:name="_Hlk163131276"/>
            <w:r>
              <w:rPr>
                <w:b/>
                <w:bCs/>
              </w:rPr>
              <w:t>13</w:t>
            </w:r>
          </w:p>
        </w:tc>
        <w:tc>
          <w:tcPr>
            <w:tcW w:w="2160" w:type="dxa"/>
            <w:shd w:val="clear" w:color="auto" w:fill="F2F2F2" w:themeFill="background1" w:themeFillShade="F2"/>
          </w:tcPr>
          <w:p w14:paraId="3EF63709" w14:textId="77777777" w:rsidR="00AF11BD" w:rsidRPr="00200145" w:rsidRDefault="00AF11BD" w:rsidP="00AF11BD">
            <w:pPr>
              <w:spacing w:before="40" w:after="40"/>
              <w:rPr>
                <w:b/>
                <w:bCs/>
                <w:i/>
                <w:iCs/>
              </w:rPr>
            </w:pPr>
            <w:r w:rsidRPr="00200145">
              <w:rPr>
                <w:b/>
                <w:bCs/>
              </w:rPr>
              <w:t>Exhibit</w:t>
            </w:r>
            <w:r>
              <w:rPr>
                <w:b/>
                <w:bCs/>
              </w:rPr>
              <w:t xml:space="preserve"> B, </w:t>
            </w:r>
            <w:r w:rsidRPr="00200145">
              <w:rPr>
                <w:b/>
                <w:bCs/>
                <w:i/>
                <w:iCs/>
              </w:rPr>
              <w:t>Volumes</w:t>
            </w:r>
          </w:p>
          <w:p w14:paraId="40820A05" w14:textId="06AA2160" w:rsidR="00AF11BD" w:rsidRPr="00BC69BF" w:rsidRDefault="00AF11BD" w:rsidP="00AF11BD">
            <w:pPr>
              <w:spacing w:before="40" w:after="120"/>
              <w:rPr>
                <w:b/>
                <w:bCs/>
              </w:rPr>
            </w:pPr>
            <w:r w:rsidRPr="00200145">
              <w:rPr>
                <w:b/>
                <w:bCs/>
              </w:rPr>
              <w:t>Overdraft Information Table</w:t>
            </w:r>
          </w:p>
        </w:tc>
        <w:tc>
          <w:tcPr>
            <w:tcW w:w="540" w:type="dxa"/>
            <w:shd w:val="clear" w:color="auto" w:fill="F2F2F2" w:themeFill="background1" w:themeFillShade="F2"/>
          </w:tcPr>
          <w:p w14:paraId="57C73177" w14:textId="47CF0FD4" w:rsidR="00AF11BD" w:rsidRPr="00BC69BF" w:rsidRDefault="00AF11BD" w:rsidP="00AF11BD">
            <w:pPr>
              <w:spacing w:before="40" w:after="120"/>
              <w:rPr>
                <w:b/>
                <w:bCs/>
              </w:rPr>
            </w:pPr>
            <w:r w:rsidRPr="00200145">
              <w:rPr>
                <w:b/>
                <w:bCs/>
              </w:rPr>
              <w:t>8</w:t>
            </w:r>
          </w:p>
        </w:tc>
        <w:tc>
          <w:tcPr>
            <w:tcW w:w="5400" w:type="dxa"/>
          </w:tcPr>
          <w:p w14:paraId="6D9F1B71" w14:textId="77777777" w:rsidR="00AF11BD" w:rsidRPr="00200145" w:rsidRDefault="00AF11BD" w:rsidP="00AF11BD">
            <w:pPr>
              <w:spacing w:before="40" w:after="120"/>
              <w:jc w:val="both"/>
            </w:pPr>
            <w:r w:rsidRPr="00200145">
              <w:t>Is “</w:t>
            </w:r>
            <w:r w:rsidRPr="00200145">
              <w:rPr>
                <w:i/>
                <w:iCs/>
              </w:rPr>
              <w:t>Number of Days in Negative Balance</w:t>
            </w:r>
            <w:r w:rsidRPr="00200145">
              <w:t>” an annual or monthly figure and does this refer to a negative collected balance or a ledger overdraft?</w:t>
            </w:r>
          </w:p>
          <w:p w14:paraId="0FC17F4B" w14:textId="0BECBFAE" w:rsidR="00AF11BD" w:rsidRPr="00416ABE" w:rsidRDefault="00AF11BD" w:rsidP="00AF11BD">
            <w:pPr>
              <w:spacing w:before="40" w:after="120"/>
              <w:jc w:val="both"/>
            </w:pPr>
            <w:r w:rsidRPr="00200145">
              <w:t>Does these occur as single day events or across consecutive days?</w:t>
            </w:r>
          </w:p>
        </w:tc>
        <w:tc>
          <w:tcPr>
            <w:tcW w:w="5400" w:type="dxa"/>
            <w:shd w:val="clear" w:color="auto" w:fill="auto"/>
          </w:tcPr>
          <w:p w14:paraId="0D3D2AA7" w14:textId="30D7FBC5" w:rsidR="00AF11BD" w:rsidRPr="00200073" w:rsidRDefault="00D26C96" w:rsidP="00AF11BD">
            <w:pPr>
              <w:spacing w:before="40" w:after="120"/>
              <w:jc w:val="both"/>
              <w:rPr>
                <w:b/>
                <w:bCs/>
                <w:color w:val="1F3864" w:themeColor="accent1" w:themeShade="80"/>
              </w:rPr>
            </w:pPr>
            <w:r w:rsidRPr="00200073">
              <w:rPr>
                <w:b/>
                <w:bCs/>
                <w:color w:val="1F3864" w:themeColor="accent1" w:themeShade="80"/>
              </w:rPr>
              <w:t>This number reflects the cumulative number of days within a given year.  This refers to negative collected balance. These overdrafts can be single day events, or could occur across consecutive days (for example, an overdraft occurring on a Friday, Saturday, or Sund</w:t>
            </w:r>
            <w:r w:rsidRPr="000C664F">
              <w:rPr>
                <w:b/>
                <w:bCs/>
                <w:color w:val="1F3864" w:themeColor="accent1" w:themeShade="80"/>
              </w:rPr>
              <w:t>ay</w:t>
            </w:r>
            <w:r w:rsidRPr="00200073">
              <w:rPr>
                <w:b/>
                <w:bCs/>
                <w:color w:val="C00000"/>
              </w:rPr>
              <w:t xml:space="preserve"> </w:t>
            </w:r>
            <w:r w:rsidRPr="00200073">
              <w:rPr>
                <w:b/>
                <w:bCs/>
                <w:color w:val="1F3864" w:themeColor="accent1" w:themeShade="80"/>
              </w:rPr>
              <w:t>may not be resolved until the next business day</w:t>
            </w:r>
            <w:r w:rsidR="000C664F">
              <w:rPr>
                <w:b/>
                <w:bCs/>
                <w:color w:val="1F3864" w:themeColor="accent1" w:themeShade="80"/>
              </w:rPr>
              <w:t>)</w:t>
            </w:r>
            <w:r w:rsidRPr="00200073">
              <w:rPr>
                <w:b/>
                <w:bCs/>
                <w:color w:val="1F3864" w:themeColor="accent1" w:themeShade="80"/>
              </w:rPr>
              <w:t>.</w:t>
            </w:r>
          </w:p>
        </w:tc>
      </w:tr>
      <w:bookmarkEnd w:id="5"/>
      <w:tr w:rsidR="000B706C" w14:paraId="0932BCA0" w14:textId="77777777" w:rsidTr="00200073">
        <w:tc>
          <w:tcPr>
            <w:tcW w:w="535" w:type="dxa"/>
            <w:shd w:val="clear" w:color="auto" w:fill="BFBFBF" w:themeFill="background1" w:themeFillShade="BF"/>
          </w:tcPr>
          <w:p w14:paraId="768A30AB" w14:textId="148232FB" w:rsidR="000B706C" w:rsidRDefault="000B706C" w:rsidP="000B706C">
            <w:pPr>
              <w:spacing w:before="40"/>
              <w:rPr>
                <w:b/>
                <w:bCs/>
              </w:rPr>
            </w:pPr>
            <w:r>
              <w:rPr>
                <w:b/>
                <w:bCs/>
              </w:rPr>
              <w:t>14</w:t>
            </w:r>
          </w:p>
        </w:tc>
        <w:tc>
          <w:tcPr>
            <w:tcW w:w="2160" w:type="dxa"/>
            <w:shd w:val="clear" w:color="auto" w:fill="F2F2F2" w:themeFill="background1" w:themeFillShade="F2"/>
          </w:tcPr>
          <w:p w14:paraId="2E7A0456" w14:textId="61EA8692" w:rsidR="000B706C" w:rsidRPr="00BC69BF" w:rsidRDefault="000B706C" w:rsidP="000B706C">
            <w:pPr>
              <w:spacing w:before="40" w:after="120"/>
              <w:rPr>
                <w:b/>
                <w:bCs/>
              </w:rPr>
            </w:pPr>
            <w:r w:rsidRPr="00AF6E65">
              <w:rPr>
                <w:b/>
                <w:bCs/>
              </w:rPr>
              <w:t>Exhibit F</w:t>
            </w:r>
            <w:r>
              <w:rPr>
                <w:b/>
                <w:bCs/>
              </w:rPr>
              <w:t xml:space="preserve">, </w:t>
            </w:r>
            <w:r w:rsidRPr="00AF6E65">
              <w:rPr>
                <w:b/>
                <w:bCs/>
                <w:i/>
                <w:iCs/>
              </w:rPr>
              <w:t xml:space="preserve">Minority and Women-Owned Business </w:t>
            </w:r>
            <w:r w:rsidRPr="00AF6E65">
              <w:rPr>
                <w:b/>
                <w:bCs/>
                <w:i/>
                <w:iCs/>
              </w:rPr>
              <w:lastRenderedPageBreak/>
              <w:t>Enterprises – Equal  Employment Opportunity Policy Statement</w:t>
            </w:r>
          </w:p>
        </w:tc>
        <w:tc>
          <w:tcPr>
            <w:tcW w:w="540" w:type="dxa"/>
            <w:shd w:val="clear" w:color="auto" w:fill="F2F2F2" w:themeFill="background1" w:themeFillShade="F2"/>
          </w:tcPr>
          <w:p w14:paraId="1A052698" w14:textId="7D398280" w:rsidR="000B706C" w:rsidRPr="00BC69BF" w:rsidRDefault="000B706C" w:rsidP="000B706C">
            <w:pPr>
              <w:spacing w:before="40" w:after="120"/>
              <w:rPr>
                <w:b/>
                <w:bCs/>
              </w:rPr>
            </w:pPr>
            <w:r>
              <w:rPr>
                <w:b/>
                <w:bCs/>
              </w:rPr>
              <w:lastRenderedPageBreak/>
              <w:t>15-16</w:t>
            </w:r>
          </w:p>
        </w:tc>
        <w:tc>
          <w:tcPr>
            <w:tcW w:w="5400" w:type="dxa"/>
          </w:tcPr>
          <w:p w14:paraId="52A65668" w14:textId="2250652F" w:rsidR="000B706C" w:rsidRPr="00416ABE" w:rsidRDefault="000B706C" w:rsidP="000B706C">
            <w:pPr>
              <w:spacing w:before="40" w:after="200"/>
              <w:jc w:val="both"/>
            </w:pPr>
            <w:r w:rsidRPr="00ED5E81">
              <w:t>Are there specific contract goals that DTF is looking for in Exhibit F?</w:t>
            </w:r>
          </w:p>
        </w:tc>
        <w:tc>
          <w:tcPr>
            <w:tcW w:w="5400" w:type="dxa"/>
            <w:shd w:val="clear" w:color="auto" w:fill="auto"/>
          </w:tcPr>
          <w:p w14:paraId="2432CCD5" w14:textId="2113D502" w:rsidR="00277CA9" w:rsidRPr="009A46EA" w:rsidRDefault="00C17F5B" w:rsidP="000B706C">
            <w:pPr>
              <w:spacing w:before="40" w:after="120"/>
              <w:jc w:val="both"/>
              <w:rPr>
                <w:b/>
                <w:bCs/>
                <w:i/>
                <w:iCs/>
                <w:color w:val="1F3864" w:themeColor="accent1" w:themeShade="80"/>
              </w:rPr>
            </w:pPr>
            <w:r>
              <w:rPr>
                <w:b/>
                <w:bCs/>
                <w:color w:val="1F3864" w:themeColor="accent1" w:themeShade="80"/>
              </w:rPr>
              <w:t xml:space="preserve">Per </w:t>
            </w:r>
            <w:r w:rsidR="00277CA9" w:rsidRPr="009A46EA">
              <w:rPr>
                <w:b/>
                <w:bCs/>
                <w:color w:val="1F3864" w:themeColor="accent1" w:themeShade="80"/>
              </w:rPr>
              <w:t xml:space="preserve"> RFP Section 4.2.5</w:t>
            </w:r>
            <w:r w:rsidR="00017469" w:rsidRPr="009A46EA">
              <w:rPr>
                <w:b/>
                <w:bCs/>
                <w:color w:val="1F3864" w:themeColor="accent1" w:themeShade="80"/>
              </w:rPr>
              <w:t xml:space="preserve">, </w:t>
            </w:r>
            <w:r w:rsidR="00277CA9" w:rsidRPr="009A46EA">
              <w:rPr>
                <w:b/>
                <w:bCs/>
                <w:color w:val="1F3864" w:themeColor="accent1" w:themeShade="80"/>
              </w:rPr>
              <w:t xml:space="preserve">Contractor Requirements and Procedures for Participation by New York State-Certified Minority and Women-Owned </w:t>
            </w:r>
            <w:r w:rsidR="00277CA9" w:rsidRPr="009A46EA">
              <w:rPr>
                <w:b/>
                <w:bCs/>
                <w:color w:val="1F3864" w:themeColor="accent1" w:themeShade="80"/>
              </w:rPr>
              <w:lastRenderedPageBreak/>
              <w:t>Business Enterprises and Equal Employment Opportunities for Minority Group Members and Women</w:t>
            </w:r>
            <w:r>
              <w:rPr>
                <w:b/>
                <w:bCs/>
                <w:color w:val="1F3864" w:themeColor="accent1" w:themeShade="80"/>
              </w:rPr>
              <w:t>, there are no goals for this contract</w:t>
            </w:r>
            <w:r w:rsidR="00277CA9" w:rsidRPr="009A46EA">
              <w:rPr>
                <w:b/>
                <w:bCs/>
                <w:color w:val="1F3864" w:themeColor="accent1" w:themeShade="80"/>
              </w:rPr>
              <w:t>:</w:t>
            </w:r>
            <w:r w:rsidR="00277CA9" w:rsidRPr="009A46EA">
              <w:rPr>
                <w:b/>
                <w:bCs/>
                <w:i/>
                <w:iCs/>
                <w:color w:val="1F3864" w:themeColor="accent1" w:themeShade="80"/>
              </w:rPr>
              <w:t xml:space="preserve"> </w:t>
            </w:r>
          </w:p>
          <w:p w14:paraId="524DAEAB" w14:textId="32F2B5BC" w:rsidR="000B706C" w:rsidRPr="009A46EA" w:rsidRDefault="00277CA9" w:rsidP="000B706C">
            <w:pPr>
              <w:spacing w:before="40" w:after="120"/>
              <w:jc w:val="both"/>
              <w:rPr>
                <w:b/>
                <w:bCs/>
                <w:color w:val="1F3864" w:themeColor="accent1" w:themeShade="80"/>
              </w:rPr>
            </w:pPr>
            <w:r w:rsidRPr="009A46EA">
              <w:rPr>
                <w:b/>
                <w:bCs/>
                <w:i/>
                <w:iCs/>
                <w:color w:val="1F3864" w:themeColor="accent1" w:themeShade="80"/>
              </w:rPr>
              <w:t xml:space="preserve">“For purposes of this </w:t>
            </w:r>
            <w:r w:rsidRPr="008423C5">
              <w:rPr>
                <w:b/>
                <w:bCs/>
                <w:i/>
                <w:iCs/>
                <w:color w:val="1F3864" w:themeColor="accent1" w:themeShade="80"/>
              </w:rPr>
              <w:t>solicitation, the Department of Taxation and Finance hereby establishes an overall goal of 0% for MWBE participation, 0% for New York State-Certified Minority-Owned Business Enterprise (“MBE”) participation and 0% for New York State-Certified Women-Owned</w:t>
            </w:r>
            <w:r w:rsidRPr="009A46EA">
              <w:rPr>
                <w:b/>
                <w:bCs/>
                <w:i/>
                <w:iCs/>
                <w:color w:val="1F3864" w:themeColor="accent1" w:themeShade="80"/>
              </w:rPr>
              <w:t xml:space="preserve"> Business Enterprise (“WBE”) participation (based on the current availability of MBEs and WBEs).”  </w:t>
            </w:r>
          </w:p>
        </w:tc>
      </w:tr>
      <w:tr w:rsidR="000B706C" w14:paraId="7AD791D9" w14:textId="77777777" w:rsidTr="00200073">
        <w:tc>
          <w:tcPr>
            <w:tcW w:w="535" w:type="dxa"/>
            <w:shd w:val="clear" w:color="auto" w:fill="BFBFBF" w:themeFill="background1" w:themeFillShade="BF"/>
          </w:tcPr>
          <w:p w14:paraId="7A7B0C2E" w14:textId="01467925" w:rsidR="000B706C" w:rsidRDefault="000B706C" w:rsidP="000B706C">
            <w:pPr>
              <w:spacing w:before="40"/>
              <w:rPr>
                <w:b/>
                <w:bCs/>
              </w:rPr>
            </w:pPr>
            <w:r>
              <w:rPr>
                <w:b/>
                <w:bCs/>
              </w:rPr>
              <w:lastRenderedPageBreak/>
              <w:t>15</w:t>
            </w:r>
          </w:p>
        </w:tc>
        <w:tc>
          <w:tcPr>
            <w:tcW w:w="2160" w:type="dxa"/>
            <w:shd w:val="clear" w:color="auto" w:fill="F2F2F2" w:themeFill="background1" w:themeFillShade="F2"/>
          </w:tcPr>
          <w:p w14:paraId="07A23558" w14:textId="77777777" w:rsidR="000B706C" w:rsidRPr="00AF6E65" w:rsidRDefault="000B706C" w:rsidP="000B706C">
            <w:pPr>
              <w:spacing w:before="40" w:after="120"/>
              <w:rPr>
                <w:b/>
                <w:bCs/>
                <w:i/>
                <w:iCs/>
              </w:rPr>
            </w:pPr>
            <w:r w:rsidRPr="00AF6E65">
              <w:rPr>
                <w:b/>
                <w:bCs/>
              </w:rPr>
              <w:t>Exhibit I</w:t>
            </w:r>
            <w:r>
              <w:rPr>
                <w:b/>
                <w:bCs/>
              </w:rPr>
              <w:t xml:space="preserve">, </w:t>
            </w:r>
            <w:r w:rsidRPr="00AF6E65">
              <w:rPr>
                <w:b/>
                <w:bCs/>
                <w:i/>
                <w:iCs/>
              </w:rPr>
              <w:t xml:space="preserve">Preliminary Base Contract </w:t>
            </w:r>
          </w:p>
          <w:p w14:paraId="5D8F3A8B" w14:textId="74E52D96" w:rsidR="000B706C" w:rsidRPr="00BC69BF" w:rsidRDefault="000B706C" w:rsidP="000B706C">
            <w:pPr>
              <w:spacing w:before="40" w:after="120"/>
              <w:rPr>
                <w:b/>
                <w:bCs/>
              </w:rPr>
            </w:pPr>
            <w:r w:rsidRPr="00AF6E65">
              <w:rPr>
                <w:b/>
                <w:bCs/>
              </w:rPr>
              <w:t>Article IX</w:t>
            </w:r>
            <w:r>
              <w:rPr>
                <w:b/>
                <w:bCs/>
              </w:rPr>
              <w:t xml:space="preserve"> </w:t>
            </w:r>
            <w:bookmarkStart w:id="6" w:name="_Hlk133481735"/>
            <w:r w:rsidRPr="008A6B1A">
              <w:rPr>
                <w:b/>
                <w:bCs/>
                <w:i/>
                <w:iCs/>
                <w:sz w:val="20"/>
                <w:szCs w:val="20"/>
              </w:rPr>
              <w:t>(Contractor Performance Monitoring</w:t>
            </w:r>
            <w:bookmarkEnd w:id="6"/>
            <w:r w:rsidRPr="008A6B1A">
              <w:rPr>
                <w:b/>
                <w:bCs/>
                <w:i/>
                <w:iCs/>
                <w:sz w:val="20"/>
                <w:szCs w:val="20"/>
              </w:rPr>
              <w:t xml:space="preserve"> / Reviews)</w:t>
            </w:r>
          </w:p>
        </w:tc>
        <w:tc>
          <w:tcPr>
            <w:tcW w:w="540" w:type="dxa"/>
            <w:shd w:val="clear" w:color="auto" w:fill="F2F2F2" w:themeFill="background1" w:themeFillShade="F2"/>
          </w:tcPr>
          <w:p w14:paraId="5AC5CDD2" w14:textId="1712B6D0" w:rsidR="000B706C" w:rsidRPr="00BC69BF" w:rsidRDefault="000B706C" w:rsidP="000B706C">
            <w:pPr>
              <w:spacing w:before="40" w:after="120"/>
              <w:rPr>
                <w:b/>
                <w:bCs/>
              </w:rPr>
            </w:pPr>
            <w:r>
              <w:rPr>
                <w:b/>
                <w:bCs/>
              </w:rPr>
              <w:t>35-36</w:t>
            </w:r>
          </w:p>
        </w:tc>
        <w:tc>
          <w:tcPr>
            <w:tcW w:w="5400" w:type="dxa"/>
          </w:tcPr>
          <w:p w14:paraId="7175DDA2" w14:textId="43FC073B" w:rsidR="000B706C" w:rsidRPr="00416ABE" w:rsidRDefault="000B706C" w:rsidP="000B706C">
            <w:pPr>
              <w:spacing w:before="40" w:after="200"/>
              <w:jc w:val="both"/>
            </w:pPr>
            <w:r>
              <w:t>Is the State willing to negotiate modifications to this provision upon award or conditional award?  Specifically, we would request that any discretion provided to the State should require a “reasonableness” qualifier.  As a regulatory matter and to protect client confidentiality, physical access to non-public Bank  facilities is highly restricted.</w:t>
            </w:r>
          </w:p>
        </w:tc>
        <w:tc>
          <w:tcPr>
            <w:tcW w:w="5400" w:type="dxa"/>
            <w:shd w:val="clear" w:color="auto" w:fill="auto"/>
          </w:tcPr>
          <w:p w14:paraId="74105DFD" w14:textId="77777777" w:rsidR="00277CA9" w:rsidRPr="009A46EA" w:rsidRDefault="003D324E" w:rsidP="000B706C">
            <w:pPr>
              <w:spacing w:before="40" w:after="120"/>
              <w:jc w:val="both"/>
              <w:rPr>
                <w:b/>
                <w:bCs/>
                <w:color w:val="1F3864" w:themeColor="accent1" w:themeShade="80"/>
              </w:rPr>
            </w:pPr>
            <w:r w:rsidRPr="009A46EA">
              <w:rPr>
                <w:b/>
                <w:bCs/>
                <w:color w:val="1F3864" w:themeColor="accent1" w:themeShade="80"/>
              </w:rPr>
              <w:t xml:space="preserve">The State does not negotiate contract terms prior to award. Rather, along with its Proposal submission, a Bidder must propose any changes in the manner described in RFP at Preface G., Contract Signing: </w:t>
            </w:r>
          </w:p>
          <w:p w14:paraId="51C482B7" w14:textId="4C51AAC0" w:rsidR="000B706C" w:rsidRPr="009A46EA" w:rsidRDefault="003D324E" w:rsidP="000B706C">
            <w:pPr>
              <w:spacing w:before="40" w:after="120"/>
              <w:jc w:val="both"/>
              <w:rPr>
                <w:b/>
                <w:bCs/>
                <w:color w:val="1F3864" w:themeColor="accent1" w:themeShade="80"/>
              </w:rPr>
            </w:pPr>
            <w:r w:rsidRPr="009A46EA">
              <w:rPr>
                <w:b/>
                <w:bCs/>
                <w:color w:val="1F3864" w:themeColor="accent1" w:themeShade="80"/>
              </w:rPr>
              <w:t>“</w:t>
            </w:r>
            <w:r w:rsidRPr="009A46EA">
              <w:rPr>
                <w:b/>
                <w:bCs/>
                <w:i/>
                <w:iCs/>
                <w:color w:val="1F3864" w:themeColor="accent1" w:themeShade="80"/>
              </w:rPr>
              <w:t xml:space="preserve">Preliminary Base Contract. The Preliminary Base Contract is attached hereto as Exhibit I. Bidders may only propose language amending Exhibit I that does not materially change the Requirements of the RFP. All objections, proposed changes, and/or additions to the terms and conditions set out in Exhibit I (“Bidder-Proposed Changes”) must be specifically identified in the Bidder’s Proposal. If there are any terms about which a Bidder wishes to request changes, or specific terms the Bidder wishes the Department to consider for inclusion in the Base Contract, the terms must be clearly identified and specific requests for changes must be submitted in accordance with the requirements of Section 4.2.18. The Department requests that any changes proposed to its language/terms be submitted as a mark-up of Exhibit I.  The Bidder agrees to all </w:t>
            </w:r>
            <w:r w:rsidRPr="009A46EA">
              <w:rPr>
                <w:b/>
                <w:bCs/>
                <w:i/>
                <w:iCs/>
                <w:color w:val="1F3864" w:themeColor="accent1" w:themeShade="80"/>
              </w:rPr>
              <w:lastRenderedPageBreak/>
              <w:t>terms set forth in Exhibit I not so identified for discussion.</w:t>
            </w:r>
            <w:r w:rsidRPr="009A46EA">
              <w:rPr>
                <w:b/>
                <w:bCs/>
                <w:color w:val="1F3864" w:themeColor="accent1" w:themeShade="80"/>
              </w:rPr>
              <w:t>”</w:t>
            </w:r>
          </w:p>
        </w:tc>
      </w:tr>
      <w:tr w:rsidR="000B706C" w14:paraId="46B2D465" w14:textId="77777777" w:rsidTr="00200073">
        <w:tc>
          <w:tcPr>
            <w:tcW w:w="535" w:type="dxa"/>
            <w:shd w:val="clear" w:color="auto" w:fill="BFBFBF" w:themeFill="background1" w:themeFillShade="BF"/>
          </w:tcPr>
          <w:p w14:paraId="3B033D33" w14:textId="36AE28B8" w:rsidR="000B706C" w:rsidRDefault="000B706C" w:rsidP="000B706C">
            <w:pPr>
              <w:spacing w:before="40"/>
              <w:rPr>
                <w:b/>
                <w:bCs/>
              </w:rPr>
            </w:pPr>
            <w:r>
              <w:rPr>
                <w:b/>
                <w:bCs/>
              </w:rPr>
              <w:lastRenderedPageBreak/>
              <w:t>16</w:t>
            </w:r>
          </w:p>
        </w:tc>
        <w:tc>
          <w:tcPr>
            <w:tcW w:w="2160" w:type="dxa"/>
            <w:shd w:val="clear" w:color="auto" w:fill="F2F2F2" w:themeFill="background1" w:themeFillShade="F2"/>
          </w:tcPr>
          <w:p w14:paraId="525CDCDB" w14:textId="77777777" w:rsidR="000B706C" w:rsidRPr="00AF6E65" w:rsidRDefault="000B706C" w:rsidP="000B706C">
            <w:pPr>
              <w:spacing w:before="40" w:after="120"/>
              <w:rPr>
                <w:b/>
                <w:bCs/>
                <w:i/>
                <w:iCs/>
              </w:rPr>
            </w:pPr>
            <w:r w:rsidRPr="00AF6E65">
              <w:rPr>
                <w:b/>
                <w:bCs/>
              </w:rPr>
              <w:t>Exhibit I</w:t>
            </w:r>
            <w:r>
              <w:rPr>
                <w:b/>
                <w:bCs/>
              </w:rPr>
              <w:t xml:space="preserve">, </w:t>
            </w:r>
            <w:r w:rsidRPr="00AF6E65">
              <w:rPr>
                <w:b/>
                <w:bCs/>
                <w:i/>
                <w:iCs/>
              </w:rPr>
              <w:t xml:space="preserve">Preliminary Base Contract </w:t>
            </w:r>
          </w:p>
          <w:p w14:paraId="064FA1AD" w14:textId="4F91985F" w:rsidR="000B706C" w:rsidRPr="00BC69BF" w:rsidRDefault="000B706C" w:rsidP="000B706C">
            <w:pPr>
              <w:spacing w:before="40" w:after="120"/>
              <w:rPr>
                <w:b/>
                <w:bCs/>
              </w:rPr>
            </w:pPr>
            <w:r w:rsidRPr="00AF6E65">
              <w:rPr>
                <w:b/>
                <w:bCs/>
              </w:rPr>
              <w:t>Article XVII</w:t>
            </w:r>
            <w:r>
              <w:rPr>
                <w:b/>
                <w:bCs/>
              </w:rPr>
              <w:t xml:space="preserve"> </w:t>
            </w:r>
            <w:r w:rsidRPr="008A6B1A">
              <w:rPr>
                <w:b/>
                <w:bCs/>
                <w:i/>
                <w:iCs/>
                <w:sz w:val="20"/>
                <w:szCs w:val="20"/>
              </w:rPr>
              <w:t>(Performance Deficiencies, Corrective Action, Remedies, and Reimbursements)</w:t>
            </w:r>
          </w:p>
        </w:tc>
        <w:tc>
          <w:tcPr>
            <w:tcW w:w="540" w:type="dxa"/>
            <w:shd w:val="clear" w:color="auto" w:fill="F2F2F2" w:themeFill="background1" w:themeFillShade="F2"/>
          </w:tcPr>
          <w:p w14:paraId="37FA1CA6" w14:textId="1F8F540C" w:rsidR="000B706C" w:rsidRPr="00BC69BF" w:rsidRDefault="000B706C" w:rsidP="000B706C">
            <w:pPr>
              <w:spacing w:before="40" w:after="120"/>
              <w:rPr>
                <w:b/>
                <w:bCs/>
              </w:rPr>
            </w:pPr>
            <w:r>
              <w:rPr>
                <w:b/>
                <w:bCs/>
              </w:rPr>
              <w:t>41-42</w:t>
            </w:r>
          </w:p>
        </w:tc>
        <w:tc>
          <w:tcPr>
            <w:tcW w:w="5400" w:type="dxa"/>
          </w:tcPr>
          <w:p w14:paraId="1129EBFE" w14:textId="58981A8A" w:rsidR="000B706C" w:rsidRPr="00416ABE" w:rsidRDefault="000B706C" w:rsidP="00017469">
            <w:pPr>
              <w:spacing w:before="40" w:after="120"/>
              <w:jc w:val="both"/>
            </w:pPr>
            <w:r>
              <w:t>Is the State willing to negotiate modifications to this provision upon award or conditional award?  Specifically, we would request that any cure period provided by DTF should require a “reasonably” set timeframe. Additionally, we would request clarifying language on the setoff provision that the State’s rights “under this contract” are specific to retention of funds “under this contract,” and state law more generally addresses the State’s broader setoff rights.</w:t>
            </w:r>
          </w:p>
        </w:tc>
        <w:tc>
          <w:tcPr>
            <w:tcW w:w="5400" w:type="dxa"/>
            <w:shd w:val="clear" w:color="auto" w:fill="auto"/>
          </w:tcPr>
          <w:p w14:paraId="38530A65" w14:textId="2FCD897F" w:rsidR="00277CA9" w:rsidRPr="009A46EA" w:rsidRDefault="00277CA9" w:rsidP="00277CA9">
            <w:pPr>
              <w:spacing w:before="40" w:after="120"/>
              <w:jc w:val="both"/>
              <w:rPr>
                <w:b/>
                <w:bCs/>
                <w:color w:val="1F3864" w:themeColor="accent1" w:themeShade="80"/>
              </w:rPr>
            </w:pPr>
            <w:r w:rsidRPr="009A46EA">
              <w:rPr>
                <w:b/>
                <w:bCs/>
                <w:color w:val="1F3864" w:themeColor="accent1" w:themeShade="80"/>
              </w:rPr>
              <w:t xml:space="preserve">See response to Question #15 above. </w:t>
            </w:r>
          </w:p>
          <w:p w14:paraId="64C28CD8" w14:textId="102172D3" w:rsidR="00277CA9" w:rsidRPr="009A46EA" w:rsidRDefault="00277CA9" w:rsidP="00277CA9">
            <w:pPr>
              <w:spacing w:before="40" w:after="120"/>
              <w:jc w:val="both"/>
              <w:rPr>
                <w:b/>
                <w:bCs/>
                <w:color w:val="1F3864" w:themeColor="accent1" w:themeShade="80"/>
              </w:rPr>
            </w:pPr>
            <w:r w:rsidRPr="009A46EA">
              <w:rPr>
                <w:b/>
                <w:bCs/>
                <w:color w:val="1F3864" w:themeColor="accent1" w:themeShade="80"/>
              </w:rPr>
              <w:t xml:space="preserve">See also Appendix A to RFP 23-103, </w:t>
            </w:r>
            <w:r w:rsidRPr="009A46EA">
              <w:rPr>
                <w:b/>
                <w:bCs/>
                <w:i/>
                <w:iCs/>
                <w:color w:val="1F3864" w:themeColor="accent1" w:themeShade="80"/>
              </w:rPr>
              <w:t xml:space="preserve">Standard Clauses for New York State Contracts </w:t>
            </w:r>
            <w:r w:rsidRPr="009A46EA">
              <w:rPr>
                <w:b/>
                <w:bCs/>
                <w:color w:val="1F3864" w:themeColor="accent1" w:themeShade="80"/>
              </w:rPr>
              <w:t xml:space="preserve">(dated June 2023). The terms and conditions of Appendix A are not negotiable. </w:t>
            </w:r>
          </w:p>
          <w:p w14:paraId="104F2107" w14:textId="77777777" w:rsidR="000B706C" w:rsidRPr="009A46EA" w:rsidRDefault="000B706C" w:rsidP="000B706C">
            <w:pPr>
              <w:spacing w:before="40" w:after="120"/>
              <w:jc w:val="both"/>
              <w:rPr>
                <w:b/>
                <w:bCs/>
                <w:color w:val="1F3864" w:themeColor="accent1" w:themeShade="80"/>
              </w:rPr>
            </w:pPr>
          </w:p>
        </w:tc>
      </w:tr>
      <w:tr w:rsidR="000B706C" w14:paraId="7DBEBE12" w14:textId="77777777" w:rsidTr="00200073">
        <w:tc>
          <w:tcPr>
            <w:tcW w:w="535" w:type="dxa"/>
            <w:shd w:val="clear" w:color="auto" w:fill="BFBFBF" w:themeFill="background1" w:themeFillShade="BF"/>
          </w:tcPr>
          <w:p w14:paraId="558B1223" w14:textId="5E3EF33A" w:rsidR="000B706C" w:rsidRDefault="000B706C" w:rsidP="000B706C">
            <w:pPr>
              <w:spacing w:before="40"/>
              <w:rPr>
                <w:b/>
                <w:bCs/>
              </w:rPr>
            </w:pPr>
            <w:r>
              <w:rPr>
                <w:b/>
                <w:bCs/>
              </w:rPr>
              <w:t>17</w:t>
            </w:r>
          </w:p>
        </w:tc>
        <w:tc>
          <w:tcPr>
            <w:tcW w:w="2160" w:type="dxa"/>
            <w:shd w:val="clear" w:color="auto" w:fill="F2F2F2" w:themeFill="background1" w:themeFillShade="F2"/>
          </w:tcPr>
          <w:p w14:paraId="3005E2C5" w14:textId="77777777" w:rsidR="000B706C" w:rsidRPr="00AF6E65" w:rsidRDefault="000B706C" w:rsidP="000B706C">
            <w:pPr>
              <w:spacing w:before="40" w:after="120"/>
              <w:rPr>
                <w:b/>
                <w:bCs/>
                <w:i/>
                <w:iCs/>
              </w:rPr>
            </w:pPr>
            <w:r w:rsidRPr="00AF6E65">
              <w:rPr>
                <w:b/>
                <w:bCs/>
              </w:rPr>
              <w:t>Exhibit I</w:t>
            </w:r>
            <w:r>
              <w:rPr>
                <w:b/>
                <w:bCs/>
              </w:rPr>
              <w:t xml:space="preserve">, </w:t>
            </w:r>
            <w:r w:rsidRPr="00AF6E65">
              <w:rPr>
                <w:b/>
                <w:bCs/>
                <w:i/>
                <w:iCs/>
              </w:rPr>
              <w:t xml:space="preserve">Preliminary Base Contract </w:t>
            </w:r>
          </w:p>
          <w:p w14:paraId="5343B4B0" w14:textId="6CD96C37" w:rsidR="000B706C" w:rsidRPr="00BC69BF" w:rsidRDefault="000B706C" w:rsidP="000B706C">
            <w:pPr>
              <w:spacing w:before="40" w:after="120"/>
              <w:rPr>
                <w:b/>
                <w:bCs/>
              </w:rPr>
            </w:pPr>
            <w:r w:rsidRPr="00AF6E65">
              <w:rPr>
                <w:b/>
                <w:bCs/>
              </w:rPr>
              <w:t>Article XVIII</w:t>
            </w:r>
            <w:r>
              <w:rPr>
                <w:b/>
                <w:bCs/>
              </w:rPr>
              <w:t xml:space="preserve"> </w:t>
            </w:r>
            <w:r w:rsidRPr="008A6B1A">
              <w:rPr>
                <w:b/>
                <w:bCs/>
                <w:i/>
                <w:iCs/>
                <w:sz w:val="20"/>
                <w:szCs w:val="20"/>
              </w:rPr>
              <w:t>(Dispute Resolution)</w:t>
            </w:r>
          </w:p>
        </w:tc>
        <w:tc>
          <w:tcPr>
            <w:tcW w:w="540" w:type="dxa"/>
            <w:shd w:val="clear" w:color="auto" w:fill="F2F2F2" w:themeFill="background1" w:themeFillShade="F2"/>
          </w:tcPr>
          <w:p w14:paraId="677793F5" w14:textId="6C197336" w:rsidR="000B706C" w:rsidRPr="00BC69BF" w:rsidRDefault="000B706C" w:rsidP="000B706C">
            <w:pPr>
              <w:spacing w:before="40" w:after="120"/>
              <w:rPr>
                <w:b/>
                <w:bCs/>
              </w:rPr>
            </w:pPr>
            <w:r>
              <w:rPr>
                <w:b/>
                <w:bCs/>
              </w:rPr>
              <w:t>42-43</w:t>
            </w:r>
          </w:p>
        </w:tc>
        <w:tc>
          <w:tcPr>
            <w:tcW w:w="5400" w:type="dxa"/>
          </w:tcPr>
          <w:p w14:paraId="71741DE7" w14:textId="2765DAED" w:rsidR="000B706C" w:rsidRPr="00416ABE" w:rsidRDefault="000B706C" w:rsidP="00017469">
            <w:pPr>
              <w:spacing w:before="40" w:after="120"/>
              <w:jc w:val="both"/>
            </w:pPr>
            <w:r>
              <w:t>Is the State willing to negotiate modifications to this provision upon award or conditional award?  Specifically, the Bank cannot provide sole discretion to DTF to resolve potential disputes as a regulatory matter, and we would seek modifications to this Article to insert “unless otherwise agreed” and then specify scenarios where Bank must preserve regulatory and judicial jurisdiction over potential disputes, all subject to NY State law.</w:t>
            </w:r>
          </w:p>
        </w:tc>
        <w:tc>
          <w:tcPr>
            <w:tcW w:w="5400" w:type="dxa"/>
            <w:shd w:val="clear" w:color="auto" w:fill="auto"/>
          </w:tcPr>
          <w:p w14:paraId="7AF46AEE" w14:textId="77777777" w:rsidR="00277CA9" w:rsidRPr="009A46EA" w:rsidRDefault="00277CA9" w:rsidP="00277CA9">
            <w:pPr>
              <w:spacing w:before="40" w:after="120"/>
              <w:jc w:val="both"/>
              <w:rPr>
                <w:b/>
                <w:bCs/>
                <w:color w:val="1F3864" w:themeColor="accent1" w:themeShade="80"/>
              </w:rPr>
            </w:pPr>
            <w:r w:rsidRPr="009A46EA">
              <w:rPr>
                <w:b/>
                <w:bCs/>
                <w:color w:val="1F3864" w:themeColor="accent1" w:themeShade="80"/>
              </w:rPr>
              <w:t xml:space="preserve">See response to Question #15 above. </w:t>
            </w:r>
          </w:p>
          <w:p w14:paraId="0EAC2972" w14:textId="77777777" w:rsidR="000B706C" w:rsidRPr="009A46EA" w:rsidRDefault="000B706C" w:rsidP="000B706C">
            <w:pPr>
              <w:spacing w:before="40" w:after="120"/>
              <w:jc w:val="both"/>
              <w:rPr>
                <w:b/>
                <w:bCs/>
                <w:color w:val="1F3864" w:themeColor="accent1" w:themeShade="80"/>
              </w:rPr>
            </w:pPr>
          </w:p>
        </w:tc>
      </w:tr>
      <w:tr w:rsidR="000B706C" w14:paraId="4EF3139C" w14:textId="77777777" w:rsidTr="00200073">
        <w:tc>
          <w:tcPr>
            <w:tcW w:w="535" w:type="dxa"/>
            <w:shd w:val="clear" w:color="auto" w:fill="BFBFBF" w:themeFill="background1" w:themeFillShade="BF"/>
          </w:tcPr>
          <w:p w14:paraId="198EB991" w14:textId="098C76C4" w:rsidR="000B706C" w:rsidRDefault="000B706C" w:rsidP="000B706C">
            <w:pPr>
              <w:spacing w:before="40"/>
              <w:rPr>
                <w:b/>
                <w:bCs/>
              </w:rPr>
            </w:pPr>
            <w:r>
              <w:rPr>
                <w:b/>
                <w:bCs/>
              </w:rPr>
              <w:t>18</w:t>
            </w:r>
          </w:p>
        </w:tc>
        <w:tc>
          <w:tcPr>
            <w:tcW w:w="2160" w:type="dxa"/>
            <w:shd w:val="clear" w:color="auto" w:fill="F2F2F2" w:themeFill="background1" w:themeFillShade="F2"/>
          </w:tcPr>
          <w:p w14:paraId="6CB4E74F" w14:textId="77777777" w:rsidR="000B706C" w:rsidRPr="00AF6E65" w:rsidRDefault="000B706C" w:rsidP="000B706C">
            <w:pPr>
              <w:spacing w:before="40" w:after="120"/>
              <w:rPr>
                <w:b/>
                <w:bCs/>
                <w:i/>
                <w:iCs/>
              </w:rPr>
            </w:pPr>
            <w:r w:rsidRPr="00AF6E65">
              <w:rPr>
                <w:b/>
                <w:bCs/>
              </w:rPr>
              <w:t>Exhibit I</w:t>
            </w:r>
            <w:r>
              <w:rPr>
                <w:b/>
                <w:bCs/>
              </w:rPr>
              <w:t xml:space="preserve">, </w:t>
            </w:r>
            <w:r w:rsidRPr="00AF6E65">
              <w:rPr>
                <w:b/>
                <w:bCs/>
                <w:i/>
                <w:iCs/>
              </w:rPr>
              <w:t xml:space="preserve">Preliminary Base Contract </w:t>
            </w:r>
          </w:p>
          <w:p w14:paraId="1371C16D" w14:textId="731AC50C" w:rsidR="000B706C" w:rsidRPr="00BC69BF" w:rsidRDefault="000B706C" w:rsidP="000B706C">
            <w:pPr>
              <w:spacing w:before="40" w:after="120"/>
              <w:rPr>
                <w:b/>
                <w:bCs/>
              </w:rPr>
            </w:pPr>
            <w:r w:rsidRPr="00810F81">
              <w:rPr>
                <w:b/>
                <w:bCs/>
              </w:rPr>
              <w:t xml:space="preserve">Article XIX </w:t>
            </w:r>
            <w:r w:rsidRPr="008A6B1A">
              <w:rPr>
                <w:b/>
                <w:bCs/>
                <w:i/>
                <w:iCs/>
                <w:sz w:val="20"/>
                <w:szCs w:val="20"/>
              </w:rPr>
              <w:t>(Termination or Suspension</w:t>
            </w:r>
            <w:r w:rsidRPr="000B706C">
              <w:rPr>
                <w:b/>
                <w:bCs/>
                <w:sz w:val="20"/>
                <w:szCs w:val="20"/>
              </w:rPr>
              <w:t>)</w:t>
            </w:r>
          </w:p>
        </w:tc>
        <w:tc>
          <w:tcPr>
            <w:tcW w:w="540" w:type="dxa"/>
            <w:shd w:val="clear" w:color="auto" w:fill="F2F2F2" w:themeFill="background1" w:themeFillShade="F2"/>
          </w:tcPr>
          <w:p w14:paraId="0E162C98" w14:textId="6506473B" w:rsidR="000B706C" w:rsidRPr="00BC69BF" w:rsidRDefault="000B706C" w:rsidP="000B706C">
            <w:pPr>
              <w:spacing w:before="40" w:after="120"/>
              <w:rPr>
                <w:b/>
                <w:bCs/>
              </w:rPr>
            </w:pPr>
            <w:r>
              <w:rPr>
                <w:b/>
                <w:bCs/>
              </w:rPr>
              <w:t>43-44</w:t>
            </w:r>
          </w:p>
        </w:tc>
        <w:tc>
          <w:tcPr>
            <w:tcW w:w="5400" w:type="dxa"/>
          </w:tcPr>
          <w:p w14:paraId="03B98D54" w14:textId="3CE79599" w:rsidR="000B706C" w:rsidRPr="00416ABE" w:rsidRDefault="000B706C" w:rsidP="00017469">
            <w:pPr>
              <w:spacing w:before="40" w:after="120"/>
              <w:jc w:val="both"/>
            </w:pPr>
            <w:r>
              <w:t>Will the State consider revising the language in this provision to provide the State with additional discretion to manage the relationship?  Specifically, for the provided examples of termination for cause, revise the language to “may include”?  In that event, the State may still terminate for cause based on the examples, but termination would not be required if the State didn’t deem it in the State’s best interest.   This appears consistent with the subsequent paragraph’s intent.</w:t>
            </w:r>
          </w:p>
        </w:tc>
        <w:tc>
          <w:tcPr>
            <w:tcW w:w="5400" w:type="dxa"/>
            <w:shd w:val="clear" w:color="auto" w:fill="auto"/>
          </w:tcPr>
          <w:p w14:paraId="0DB718E3" w14:textId="77777777" w:rsidR="00277CA9" w:rsidRPr="009A46EA" w:rsidRDefault="00277CA9" w:rsidP="00277CA9">
            <w:pPr>
              <w:spacing w:before="40" w:after="120"/>
              <w:jc w:val="both"/>
              <w:rPr>
                <w:b/>
                <w:bCs/>
                <w:color w:val="1F3864" w:themeColor="accent1" w:themeShade="80"/>
              </w:rPr>
            </w:pPr>
            <w:r w:rsidRPr="009A46EA">
              <w:rPr>
                <w:b/>
                <w:bCs/>
                <w:color w:val="1F3864" w:themeColor="accent1" w:themeShade="80"/>
              </w:rPr>
              <w:t xml:space="preserve">See response to Question #15 above. </w:t>
            </w:r>
          </w:p>
          <w:p w14:paraId="006F7549" w14:textId="77777777" w:rsidR="000B706C" w:rsidRPr="009A46EA" w:rsidRDefault="000B706C" w:rsidP="000B706C">
            <w:pPr>
              <w:spacing w:before="40" w:after="120"/>
              <w:jc w:val="both"/>
              <w:rPr>
                <w:b/>
                <w:bCs/>
                <w:color w:val="1F3864" w:themeColor="accent1" w:themeShade="80"/>
              </w:rPr>
            </w:pPr>
          </w:p>
        </w:tc>
      </w:tr>
      <w:tr w:rsidR="000B706C" w14:paraId="35B4D2A9" w14:textId="77777777" w:rsidTr="00200073">
        <w:tc>
          <w:tcPr>
            <w:tcW w:w="535" w:type="dxa"/>
            <w:shd w:val="clear" w:color="auto" w:fill="BFBFBF" w:themeFill="background1" w:themeFillShade="BF"/>
          </w:tcPr>
          <w:p w14:paraId="5E443A50" w14:textId="1B62EF64" w:rsidR="000B706C" w:rsidRDefault="000B706C" w:rsidP="000B706C">
            <w:pPr>
              <w:spacing w:before="40"/>
              <w:rPr>
                <w:b/>
                <w:bCs/>
              </w:rPr>
            </w:pPr>
            <w:r>
              <w:rPr>
                <w:b/>
                <w:bCs/>
              </w:rPr>
              <w:lastRenderedPageBreak/>
              <w:t>19</w:t>
            </w:r>
          </w:p>
        </w:tc>
        <w:tc>
          <w:tcPr>
            <w:tcW w:w="2160" w:type="dxa"/>
            <w:shd w:val="clear" w:color="auto" w:fill="F2F2F2" w:themeFill="background1" w:themeFillShade="F2"/>
          </w:tcPr>
          <w:p w14:paraId="3D869CE1" w14:textId="77777777" w:rsidR="000B706C" w:rsidRPr="00DF5887" w:rsidRDefault="000B706C" w:rsidP="000B706C">
            <w:pPr>
              <w:spacing w:before="40" w:after="120"/>
              <w:rPr>
                <w:b/>
                <w:bCs/>
                <w:i/>
                <w:iCs/>
              </w:rPr>
            </w:pPr>
            <w:r w:rsidRPr="00AF6E65">
              <w:rPr>
                <w:b/>
                <w:bCs/>
              </w:rPr>
              <w:t>Exhibit I</w:t>
            </w:r>
            <w:r>
              <w:rPr>
                <w:b/>
                <w:bCs/>
              </w:rPr>
              <w:t xml:space="preserve">, </w:t>
            </w:r>
            <w:r w:rsidRPr="00AF6E65">
              <w:rPr>
                <w:b/>
                <w:bCs/>
                <w:i/>
                <w:iCs/>
              </w:rPr>
              <w:t xml:space="preserve">Preliminary Base </w:t>
            </w:r>
            <w:r w:rsidRPr="00DF5887">
              <w:rPr>
                <w:b/>
                <w:bCs/>
                <w:i/>
                <w:iCs/>
              </w:rPr>
              <w:t xml:space="preserve">Contract </w:t>
            </w:r>
          </w:p>
          <w:p w14:paraId="703D3D80" w14:textId="77777777" w:rsidR="000B706C" w:rsidRPr="00DF5887" w:rsidRDefault="000B706C" w:rsidP="000B706C">
            <w:pPr>
              <w:spacing w:before="40" w:after="120"/>
              <w:rPr>
                <w:b/>
                <w:bCs/>
              </w:rPr>
            </w:pPr>
            <w:r w:rsidRPr="00DF5887">
              <w:rPr>
                <w:b/>
                <w:bCs/>
              </w:rPr>
              <w:t xml:space="preserve">Article XXV </w:t>
            </w:r>
            <w:r w:rsidRPr="008A6B1A">
              <w:rPr>
                <w:b/>
                <w:bCs/>
                <w:i/>
                <w:iCs/>
                <w:sz w:val="20"/>
                <w:szCs w:val="20"/>
              </w:rPr>
              <w:t>(General Terms and Conditions)</w:t>
            </w:r>
          </w:p>
          <w:p w14:paraId="7A7DF0EA" w14:textId="786D4890" w:rsidR="000B706C" w:rsidRPr="00BC69BF" w:rsidRDefault="000B706C" w:rsidP="000B706C">
            <w:pPr>
              <w:spacing w:before="40" w:after="120"/>
              <w:rPr>
                <w:b/>
                <w:bCs/>
              </w:rPr>
            </w:pPr>
            <w:r>
              <w:rPr>
                <w:b/>
                <w:bCs/>
              </w:rPr>
              <w:t>S</w:t>
            </w:r>
            <w:r w:rsidRPr="00AF6E65">
              <w:rPr>
                <w:b/>
                <w:bCs/>
              </w:rPr>
              <w:t>ubsection H</w:t>
            </w:r>
            <w:r>
              <w:rPr>
                <w:b/>
                <w:bCs/>
              </w:rPr>
              <w:t xml:space="preserve"> </w:t>
            </w:r>
            <w:r w:rsidRPr="008A6B1A">
              <w:rPr>
                <w:b/>
                <w:bCs/>
                <w:i/>
                <w:iCs/>
                <w:sz w:val="20"/>
                <w:szCs w:val="20"/>
              </w:rPr>
              <w:t>(Dual Employment Provision)</w:t>
            </w:r>
          </w:p>
        </w:tc>
        <w:tc>
          <w:tcPr>
            <w:tcW w:w="540" w:type="dxa"/>
            <w:shd w:val="clear" w:color="auto" w:fill="F2F2F2" w:themeFill="background1" w:themeFillShade="F2"/>
          </w:tcPr>
          <w:p w14:paraId="4C9049C0" w14:textId="1385C044" w:rsidR="000B706C" w:rsidRPr="00BC69BF" w:rsidRDefault="000B706C" w:rsidP="000B706C">
            <w:pPr>
              <w:spacing w:before="40" w:after="120"/>
              <w:rPr>
                <w:b/>
                <w:bCs/>
              </w:rPr>
            </w:pPr>
            <w:r>
              <w:rPr>
                <w:b/>
                <w:bCs/>
              </w:rPr>
              <w:t>56-57</w:t>
            </w:r>
          </w:p>
        </w:tc>
        <w:tc>
          <w:tcPr>
            <w:tcW w:w="5400" w:type="dxa"/>
          </w:tcPr>
          <w:p w14:paraId="566A379F" w14:textId="0D2D9F3D" w:rsidR="000B706C" w:rsidRPr="00416ABE" w:rsidRDefault="000B706C" w:rsidP="000B706C">
            <w:pPr>
              <w:spacing w:before="40" w:after="200"/>
              <w:jc w:val="both"/>
            </w:pPr>
            <w:r>
              <w:t>Will the State consider revising the language in this provision upon award or conditional award?  Specifically, to clarify that the notification requirement should be triggered to the extent the Bank hires a former NYS employee who is “providing services under this Agreement.”</w:t>
            </w:r>
          </w:p>
        </w:tc>
        <w:tc>
          <w:tcPr>
            <w:tcW w:w="5400" w:type="dxa"/>
            <w:shd w:val="clear" w:color="auto" w:fill="auto"/>
          </w:tcPr>
          <w:p w14:paraId="444269A6" w14:textId="77777777" w:rsidR="00277CA9" w:rsidRPr="009A46EA" w:rsidRDefault="00277CA9" w:rsidP="00277CA9">
            <w:pPr>
              <w:spacing w:before="40" w:after="120"/>
              <w:jc w:val="both"/>
              <w:rPr>
                <w:b/>
                <w:bCs/>
                <w:color w:val="1F3864" w:themeColor="accent1" w:themeShade="80"/>
              </w:rPr>
            </w:pPr>
            <w:r w:rsidRPr="009A46EA">
              <w:rPr>
                <w:b/>
                <w:bCs/>
                <w:color w:val="1F3864" w:themeColor="accent1" w:themeShade="80"/>
              </w:rPr>
              <w:t xml:space="preserve">See response to Question #15 above. </w:t>
            </w:r>
          </w:p>
          <w:p w14:paraId="43E4A5AE" w14:textId="77777777" w:rsidR="000B706C" w:rsidRPr="009A46EA" w:rsidRDefault="000B706C" w:rsidP="000B706C">
            <w:pPr>
              <w:spacing w:before="40" w:after="120"/>
              <w:jc w:val="both"/>
              <w:rPr>
                <w:b/>
                <w:bCs/>
                <w:color w:val="1F3864" w:themeColor="accent1" w:themeShade="80"/>
              </w:rPr>
            </w:pPr>
          </w:p>
        </w:tc>
      </w:tr>
    </w:tbl>
    <w:p w14:paraId="2F8A8DAD" w14:textId="77777777" w:rsidR="00726E1E" w:rsidRDefault="00726E1E"/>
    <w:p w14:paraId="134023E7" w14:textId="77777777" w:rsidR="00C60ECA" w:rsidRDefault="00C60ECA">
      <w:pPr>
        <w:sectPr w:rsidR="00C60ECA" w:rsidSect="00A609B7">
          <w:headerReference w:type="default" r:id="rId11"/>
          <w:footerReference w:type="default" r:id="rId12"/>
          <w:pgSz w:w="15840" w:h="12240" w:orient="landscape" w:code="1"/>
          <w:pgMar w:top="720" w:right="720" w:bottom="720" w:left="720" w:header="432" w:footer="720" w:gutter="0"/>
          <w:pgNumType w:start="1"/>
          <w:cols w:space="720"/>
          <w:docGrid w:linePitch="360"/>
        </w:sectPr>
      </w:pPr>
    </w:p>
    <w:p w14:paraId="67EAAABB" w14:textId="7D193975" w:rsidR="00C60ECA" w:rsidRPr="006842F5" w:rsidRDefault="00C60ECA" w:rsidP="002023A6">
      <w:pPr>
        <w:keepNext/>
        <w:spacing w:after="60" w:line="276" w:lineRule="auto"/>
        <w:outlineLvl w:val="1"/>
        <w:rPr>
          <w:rFonts w:eastAsia="Times New Roman"/>
          <w:b/>
          <w:sz w:val="28"/>
          <w:szCs w:val="28"/>
          <w:u w:color="282973"/>
          <w:lang w:eastAsia="x-none"/>
        </w:rPr>
      </w:pPr>
      <w:r>
        <w:rPr>
          <w:rFonts w:eastAsia="Times New Roman"/>
          <w:b/>
          <w:sz w:val="28"/>
          <w:szCs w:val="28"/>
          <w:u w:color="282973"/>
          <w:lang w:eastAsia="x-none"/>
        </w:rPr>
        <w:lastRenderedPageBreak/>
        <w:t xml:space="preserve">2.2 </w:t>
      </w:r>
      <w:r>
        <w:rPr>
          <w:rFonts w:eastAsia="Times New Roman"/>
          <w:b/>
          <w:sz w:val="28"/>
          <w:szCs w:val="28"/>
          <w:u w:color="282973"/>
          <w:lang w:eastAsia="x-none"/>
        </w:rPr>
        <w:tab/>
      </w:r>
      <w:r w:rsidRPr="002023A6">
        <w:rPr>
          <w:rFonts w:eastAsia="Times New Roman"/>
          <w:b/>
          <w:kern w:val="0"/>
          <w:sz w:val="28"/>
          <w:szCs w:val="28"/>
          <w:u w:color="282973"/>
          <w:lang w:val="x-none" w:eastAsia="x-none"/>
          <w14:ligatures w14:val="none"/>
        </w:rPr>
        <w:t>Development</w:t>
      </w:r>
      <w:r>
        <w:rPr>
          <w:rFonts w:eastAsia="Times New Roman"/>
          <w:b/>
          <w:sz w:val="28"/>
          <w:szCs w:val="28"/>
          <w:u w:color="282973"/>
          <w:lang w:eastAsia="x-none"/>
        </w:rPr>
        <w:t xml:space="preserve"> </w:t>
      </w:r>
      <w:r w:rsidRPr="00CA37A2">
        <w:rPr>
          <w:rFonts w:eastAsia="Times New Roman"/>
          <w:b/>
          <w:sz w:val="28"/>
          <w:szCs w:val="28"/>
          <w:u w:color="282973"/>
          <w:lang w:val="x-none" w:eastAsia="x-none"/>
        </w:rPr>
        <w:t>/</w:t>
      </w:r>
      <w:r>
        <w:rPr>
          <w:rFonts w:eastAsia="Times New Roman"/>
          <w:b/>
          <w:sz w:val="28"/>
          <w:szCs w:val="28"/>
          <w:u w:color="282973"/>
          <w:lang w:eastAsia="x-none"/>
        </w:rPr>
        <w:t xml:space="preserve"> </w:t>
      </w:r>
      <w:r w:rsidRPr="00CA37A2">
        <w:rPr>
          <w:rFonts w:eastAsia="Times New Roman"/>
          <w:b/>
          <w:sz w:val="28"/>
          <w:szCs w:val="28"/>
          <w:u w:color="282973"/>
          <w:lang w:val="x-none" w:eastAsia="x-none"/>
        </w:rPr>
        <w:t>Support Service Requirements</w:t>
      </w:r>
      <w:r>
        <w:rPr>
          <w:rFonts w:eastAsia="Times New Roman"/>
          <w:b/>
          <w:sz w:val="28"/>
          <w:szCs w:val="28"/>
          <w:u w:color="282973"/>
          <w:lang w:eastAsia="x-none"/>
        </w:rPr>
        <w:t xml:space="preserve"> </w:t>
      </w:r>
    </w:p>
    <w:p w14:paraId="30A4B721" w14:textId="77777777" w:rsidR="00C60ECA" w:rsidRPr="00CA37A2" w:rsidRDefault="00C60ECA" w:rsidP="00C60ECA">
      <w:pPr>
        <w:ind w:firstLine="720"/>
      </w:pPr>
      <w:r w:rsidRPr="00CA37A2">
        <w:t>This section contains the specific Development</w:t>
      </w:r>
      <w:r>
        <w:t xml:space="preserve"> </w:t>
      </w:r>
      <w:r w:rsidRPr="00CA37A2">
        <w:t>/</w:t>
      </w:r>
      <w:r>
        <w:t xml:space="preserve"> </w:t>
      </w:r>
      <w:r w:rsidRPr="00CA37A2">
        <w:t>Support Service Requirements.</w:t>
      </w:r>
    </w:p>
    <w:tbl>
      <w:tblPr>
        <w:tblStyle w:val="TableGrid42"/>
        <w:tblW w:w="9810" w:type="dxa"/>
        <w:tblInd w:w="247" w:type="dxa"/>
        <w:tblLayout w:type="fixed"/>
        <w:tblLook w:val="04A0" w:firstRow="1" w:lastRow="0" w:firstColumn="1" w:lastColumn="0" w:noHBand="0" w:noVBand="1"/>
      </w:tblPr>
      <w:tblGrid>
        <w:gridCol w:w="720"/>
        <w:gridCol w:w="4500"/>
        <w:gridCol w:w="990"/>
        <w:gridCol w:w="3600"/>
      </w:tblGrid>
      <w:tr w:rsidR="00C60ECA" w:rsidRPr="00732B10" w14:paraId="67A4A22C" w14:textId="77777777" w:rsidTr="001C31A4">
        <w:trPr>
          <w:tblHeader/>
        </w:trPr>
        <w:tc>
          <w:tcPr>
            <w:tcW w:w="9810" w:type="dxa"/>
            <w:gridSpan w:val="4"/>
            <w:tcBorders>
              <w:top w:val="single" w:sz="18" w:space="0" w:color="auto"/>
              <w:left w:val="single" w:sz="18" w:space="0" w:color="auto"/>
              <w:bottom w:val="single" w:sz="18" w:space="0" w:color="auto"/>
              <w:right w:val="single" w:sz="18" w:space="0" w:color="auto"/>
            </w:tcBorders>
            <w:shd w:val="clear" w:color="auto" w:fill="007681"/>
          </w:tcPr>
          <w:p w14:paraId="3A1235BF" w14:textId="77777777" w:rsidR="00C60ECA" w:rsidRPr="00732B10" w:rsidRDefault="00C60ECA" w:rsidP="007E1BF0">
            <w:pPr>
              <w:tabs>
                <w:tab w:val="left" w:pos="1559"/>
                <w:tab w:val="left" w:pos="1560"/>
              </w:tabs>
              <w:spacing w:before="120" w:after="120"/>
              <w:jc w:val="center"/>
              <w:rPr>
                <w:rFonts w:ascii="Arial" w:hAnsi="Arial" w:cs="Arial"/>
              </w:rPr>
            </w:pPr>
            <w:r w:rsidRPr="00732B10">
              <w:rPr>
                <w:rFonts w:ascii="Arial" w:hAnsi="Arial" w:cs="Arial"/>
                <w:b/>
                <w:color w:val="FFFFFF" w:themeColor="background1"/>
                <w:sz w:val="24"/>
                <w:szCs w:val="28"/>
              </w:rPr>
              <w:t>TABLE 2.2: DEVELOPMENT</w:t>
            </w:r>
            <w:r>
              <w:rPr>
                <w:rFonts w:ascii="Arial" w:hAnsi="Arial" w:cs="Arial"/>
                <w:b/>
                <w:color w:val="FFFFFF" w:themeColor="background1"/>
                <w:sz w:val="24"/>
                <w:szCs w:val="28"/>
              </w:rPr>
              <w:t xml:space="preserve"> </w:t>
            </w:r>
            <w:r w:rsidRPr="00732B10">
              <w:rPr>
                <w:rFonts w:ascii="Arial" w:hAnsi="Arial" w:cs="Arial"/>
                <w:b/>
                <w:color w:val="FFFFFF" w:themeColor="background1"/>
                <w:sz w:val="24"/>
                <w:szCs w:val="28"/>
              </w:rPr>
              <w:t>/</w:t>
            </w:r>
            <w:r>
              <w:rPr>
                <w:rFonts w:ascii="Arial" w:hAnsi="Arial" w:cs="Arial"/>
                <w:b/>
                <w:color w:val="FFFFFF" w:themeColor="background1"/>
                <w:sz w:val="24"/>
                <w:szCs w:val="28"/>
              </w:rPr>
              <w:t xml:space="preserve"> </w:t>
            </w:r>
            <w:r w:rsidRPr="00732B10">
              <w:rPr>
                <w:rFonts w:ascii="Arial" w:hAnsi="Arial" w:cs="Arial"/>
                <w:b/>
                <w:color w:val="FFFFFF" w:themeColor="background1"/>
                <w:sz w:val="24"/>
                <w:szCs w:val="28"/>
              </w:rPr>
              <w:t>SUPPORT SERVICE REQUIREMENTS</w:t>
            </w:r>
          </w:p>
        </w:tc>
      </w:tr>
      <w:tr w:rsidR="00C60ECA" w:rsidRPr="00732B10" w14:paraId="094FA09B" w14:textId="77777777" w:rsidTr="001C31A4">
        <w:trPr>
          <w:tblHeader/>
        </w:trPr>
        <w:tc>
          <w:tcPr>
            <w:tcW w:w="720" w:type="dxa"/>
            <w:tcBorders>
              <w:top w:val="single" w:sz="18" w:space="0" w:color="auto"/>
              <w:left w:val="single" w:sz="18" w:space="0" w:color="auto"/>
              <w:bottom w:val="single" w:sz="18" w:space="0" w:color="auto"/>
            </w:tcBorders>
            <w:shd w:val="clear" w:color="auto" w:fill="F2F2F2" w:themeFill="background1" w:themeFillShade="F2"/>
            <w:vAlign w:val="center"/>
          </w:tcPr>
          <w:p w14:paraId="31EE5E42" w14:textId="77777777" w:rsidR="00C60ECA" w:rsidRPr="00732B10" w:rsidRDefault="00C60ECA" w:rsidP="007E1BF0">
            <w:pPr>
              <w:tabs>
                <w:tab w:val="left" w:pos="1140"/>
              </w:tabs>
              <w:spacing w:before="60" w:after="60"/>
              <w:ind w:left="72" w:right="-111"/>
              <w:rPr>
                <w:rFonts w:ascii="Arial" w:hAnsi="Arial" w:cs="Arial"/>
              </w:rPr>
            </w:pPr>
            <w:r w:rsidRPr="00732B10">
              <w:rPr>
                <w:rFonts w:ascii="Arial" w:hAnsi="Arial" w:cs="Arial"/>
                <w:b/>
                <w:w w:val="99"/>
              </w:rPr>
              <w:t>#</w:t>
            </w:r>
          </w:p>
        </w:tc>
        <w:tc>
          <w:tcPr>
            <w:tcW w:w="4500" w:type="dxa"/>
            <w:tcBorders>
              <w:top w:val="single" w:sz="18" w:space="0" w:color="auto"/>
              <w:bottom w:val="single" w:sz="18" w:space="0" w:color="auto"/>
            </w:tcBorders>
            <w:shd w:val="clear" w:color="auto" w:fill="F2F2F2" w:themeFill="background1" w:themeFillShade="F2"/>
            <w:vAlign w:val="center"/>
          </w:tcPr>
          <w:p w14:paraId="20A2CF83" w14:textId="77777777" w:rsidR="00C60ECA" w:rsidRPr="00732B10" w:rsidRDefault="00C60ECA" w:rsidP="007E1BF0">
            <w:pPr>
              <w:tabs>
                <w:tab w:val="left" w:pos="1559"/>
                <w:tab w:val="left" w:pos="1560"/>
              </w:tabs>
              <w:spacing w:before="60" w:after="60"/>
              <w:jc w:val="center"/>
              <w:rPr>
                <w:rFonts w:ascii="Arial" w:hAnsi="Arial" w:cs="Arial"/>
              </w:rPr>
            </w:pPr>
            <w:r w:rsidRPr="00732B10">
              <w:rPr>
                <w:rFonts w:ascii="Arial" w:hAnsi="Arial" w:cs="Arial"/>
                <w:b/>
                <w:sz w:val="24"/>
                <w:szCs w:val="28"/>
              </w:rPr>
              <w:t>REQUIREMENT</w:t>
            </w:r>
          </w:p>
        </w:tc>
        <w:tc>
          <w:tcPr>
            <w:tcW w:w="4590" w:type="dxa"/>
            <w:gridSpan w:val="2"/>
            <w:tcBorders>
              <w:top w:val="single" w:sz="18" w:space="0" w:color="auto"/>
              <w:bottom w:val="single" w:sz="18" w:space="0" w:color="auto"/>
              <w:right w:val="single" w:sz="18" w:space="0" w:color="auto"/>
            </w:tcBorders>
            <w:shd w:val="clear" w:color="auto" w:fill="F2F2F2" w:themeFill="background1" w:themeFillShade="F2"/>
            <w:vAlign w:val="center"/>
          </w:tcPr>
          <w:p w14:paraId="20FF9DA6" w14:textId="77777777" w:rsidR="00C60ECA" w:rsidRPr="00732B10" w:rsidRDefault="00C60ECA" w:rsidP="007E1BF0">
            <w:pPr>
              <w:tabs>
                <w:tab w:val="left" w:pos="1559"/>
                <w:tab w:val="left" w:pos="1560"/>
              </w:tabs>
              <w:spacing w:before="60" w:after="60"/>
              <w:jc w:val="center"/>
              <w:rPr>
                <w:rFonts w:ascii="Arial" w:hAnsi="Arial" w:cs="Arial"/>
              </w:rPr>
            </w:pPr>
            <w:r w:rsidRPr="00732B10">
              <w:rPr>
                <w:rFonts w:ascii="Arial" w:hAnsi="Arial" w:cs="Arial"/>
                <w:b/>
                <w:sz w:val="24"/>
                <w:szCs w:val="28"/>
              </w:rPr>
              <w:t>RESPONSE</w:t>
            </w:r>
          </w:p>
        </w:tc>
      </w:tr>
      <w:tr w:rsidR="00C60ECA" w:rsidRPr="00732B10" w14:paraId="784385D8" w14:textId="77777777" w:rsidTr="001C31A4">
        <w:tc>
          <w:tcPr>
            <w:tcW w:w="72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4ED10FBB" w14:textId="77777777" w:rsidR="00C60ECA" w:rsidRPr="00DC6931" w:rsidRDefault="00C60ECA" w:rsidP="00C60ECA">
            <w:pPr>
              <w:pStyle w:val="ListParagraph"/>
              <w:numPr>
                <w:ilvl w:val="0"/>
                <w:numId w:val="16"/>
              </w:numPr>
              <w:tabs>
                <w:tab w:val="left" w:pos="506"/>
              </w:tabs>
              <w:spacing w:after="0" w:line="240" w:lineRule="auto"/>
              <w:ind w:right="499"/>
              <w:rPr>
                <w:rFonts w:ascii="Arial" w:hAnsi="Arial" w:cs="Arial"/>
                <w:b/>
                <w:bCs/>
                <w:sz w:val="24"/>
                <w:szCs w:val="24"/>
              </w:rPr>
            </w:pPr>
          </w:p>
        </w:tc>
        <w:tc>
          <w:tcPr>
            <w:tcW w:w="9090"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45556654" w14:textId="77777777" w:rsidR="00C60ECA" w:rsidRPr="00DC6931" w:rsidRDefault="00C60ECA" w:rsidP="007E1BF0">
            <w:pPr>
              <w:tabs>
                <w:tab w:val="left" w:pos="506"/>
              </w:tabs>
              <w:ind w:left="72" w:right="499"/>
              <w:rPr>
                <w:rFonts w:ascii="Arial" w:hAnsi="Arial" w:cs="Arial"/>
                <w:b/>
                <w:bCs/>
                <w:sz w:val="24"/>
                <w:szCs w:val="24"/>
              </w:rPr>
            </w:pPr>
            <w:r w:rsidRPr="00DC6931">
              <w:rPr>
                <w:rFonts w:ascii="Arial" w:hAnsi="Arial" w:cs="Arial"/>
                <w:b/>
                <w:bCs/>
                <w:sz w:val="24"/>
                <w:szCs w:val="24"/>
              </w:rPr>
              <w:t>SERVICE LOCATION(S)</w:t>
            </w:r>
          </w:p>
        </w:tc>
      </w:tr>
      <w:tr w:rsidR="00C60ECA" w:rsidRPr="00732B10" w14:paraId="703047BE" w14:textId="77777777" w:rsidTr="001C31A4">
        <w:tc>
          <w:tcPr>
            <w:tcW w:w="720" w:type="dxa"/>
            <w:vMerge w:val="restart"/>
            <w:tcBorders>
              <w:top w:val="single" w:sz="18" w:space="0" w:color="auto"/>
              <w:left w:val="single" w:sz="18" w:space="0" w:color="auto"/>
            </w:tcBorders>
            <w:shd w:val="clear" w:color="auto" w:fill="F2F2F2" w:themeFill="background1" w:themeFillShade="F2"/>
          </w:tcPr>
          <w:p w14:paraId="5172ADCC" w14:textId="77777777" w:rsidR="00C60ECA" w:rsidRPr="00C60ECA" w:rsidRDefault="00C60ECA" w:rsidP="007E1BF0">
            <w:pPr>
              <w:tabs>
                <w:tab w:val="left" w:pos="613"/>
              </w:tabs>
              <w:spacing w:before="120" w:after="120"/>
              <w:ind w:left="72" w:right="72"/>
              <w:rPr>
                <w:rFonts w:ascii="Arial" w:hAnsi="Arial" w:cs="Arial"/>
                <w:b/>
                <w:sz w:val="22"/>
                <w:szCs w:val="22"/>
              </w:rPr>
            </w:pPr>
            <w:r w:rsidRPr="00C60ECA">
              <w:rPr>
                <w:rFonts w:ascii="Arial" w:hAnsi="Arial" w:cs="Arial"/>
                <w:b/>
                <w:sz w:val="22"/>
                <w:szCs w:val="22"/>
              </w:rPr>
              <w:t>1.1</w:t>
            </w:r>
          </w:p>
        </w:tc>
        <w:tc>
          <w:tcPr>
            <w:tcW w:w="4500" w:type="dxa"/>
            <w:vMerge w:val="restart"/>
            <w:tcBorders>
              <w:top w:val="single" w:sz="18" w:space="0" w:color="auto"/>
            </w:tcBorders>
          </w:tcPr>
          <w:p w14:paraId="37824E8A" w14:textId="77777777" w:rsidR="00C60ECA" w:rsidRPr="00C60ECA" w:rsidRDefault="00C60ECA" w:rsidP="007E1BF0">
            <w:pPr>
              <w:tabs>
                <w:tab w:val="num" w:pos="880"/>
                <w:tab w:val="left" w:pos="1559"/>
                <w:tab w:val="left" w:pos="1560"/>
              </w:tabs>
              <w:spacing w:before="120" w:after="120"/>
              <w:ind w:left="72" w:right="72"/>
              <w:jc w:val="both"/>
              <w:rPr>
                <w:rFonts w:ascii="Arial" w:hAnsi="Arial" w:cs="Arial"/>
                <w:sz w:val="22"/>
                <w:szCs w:val="22"/>
              </w:rPr>
            </w:pPr>
            <w:r w:rsidRPr="00C60ECA">
              <w:rPr>
                <w:rFonts w:ascii="Arial" w:hAnsi="Arial" w:cs="Arial"/>
                <w:sz w:val="22"/>
                <w:szCs w:val="22"/>
              </w:rPr>
              <w:t>The Department prefers that all Services be performed (all data processed and stored) at geographical Site(s) located within the Continental United States (“CONUS”).</w:t>
            </w:r>
          </w:p>
          <w:p w14:paraId="1D0BDF66" w14:textId="77777777" w:rsidR="00C60ECA" w:rsidRPr="00C60ECA" w:rsidRDefault="00C60ECA" w:rsidP="007E1BF0">
            <w:pPr>
              <w:jc w:val="both"/>
              <w:rPr>
                <w:rFonts w:ascii="Arial" w:hAnsi="Arial" w:cs="Arial"/>
                <w:strike/>
                <w:sz w:val="22"/>
                <w:szCs w:val="22"/>
              </w:rPr>
            </w:pPr>
          </w:p>
        </w:tc>
        <w:tc>
          <w:tcPr>
            <w:tcW w:w="4590" w:type="dxa"/>
            <w:gridSpan w:val="2"/>
            <w:tcBorders>
              <w:top w:val="single" w:sz="18" w:space="0" w:color="auto"/>
              <w:bottom w:val="dotted" w:sz="4" w:space="0" w:color="auto"/>
              <w:right w:val="single" w:sz="18" w:space="0" w:color="auto"/>
            </w:tcBorders>
          </w:tcPr>
          <w:p w14:paraId="6B8608AB" w14:textId="77777777" w:rsidR="00C60ECA" w:rsidRPr="00C60ECA" w:rsidRDefault="00C60ECA" w:rsidP="007E1BF0">
            <w:pPr>
              <w:spacing w:before="120" w:after="120"/>
              <w:ind w:left="72" w:right="72"/>
              <w:jc w:val="both"/>
              <w:rPr>
                <w:rFonts w:ascii="Arial" w:hAnsi="Arial" w:cs="Arial"/>
                <w:sz w:val="22"/>
                <w:szCs w:val="22"/>
              </w:rPr>
            </w:pPr>
            <w:r w:rsidRPr="00C60ECA">
              <w:rPr>
                <w:rFonts w:ascii="Arial" w:hAnsi="Arial" w:cs="Arial"/>
                <w:color w:val="231F20"/>
                <w:sz w:val="22"/>
                <w:szCs w:val="22"/>
              </w:rPr>
              <w:t xml:space="preserve">The Bidder should provide complete information </w:t>
            </w:r>
            <w:r w:rsidRPr="00C60ECA">
              <w:rPr>
                <w:rFonts w:ascii="Arial" w:hAnsi="Arial" w:cs="Arial"/>
                <w:sz w:val="22"/>
                <w:szCs w:val="22"/>
              </w:rPr>
              <w:t xml:space="preserve">describing the primary and backup Site locations where it will perform, </w:t>
            </w:r>
            <w:r w:rsidRPr="00C60ECA">
              <w:rPr>
                <w:rFonts w:ascii="Arial" w:hAnsi="Arial" w:cs="Arial"/>
                <w:color w:val="231F20"/>
                <w:sz w:val="22"/>
                <w:szCs w:val="22"/>
              </w:rPr>
              <w:t>as follows</w:t>
            </w:r>
            <w:r w:rsidRPr="00C60ECA">
              <w:rPr>
                <w:rFonts w:ascii="Arial" w:hAnsi="Arial" w:cs="Arial"/>
                <w:sz w:val="22"/>
                <w:szCs w:val="22"/>
              </w:rPr>
              <w:t xml:space="preserve">: </w:t>
            </w:r>
          </w:p>
          <w:p w14:paraId="1007864E" w14:textId="77777777" w:rsidR="00C60ECA" w:rsidRPr="00C60ECA" w:rsidRDefault="00C60ECA" w:rsidP="00C60ECA">
            <w:pPr>
              <w:pStyle w:val="ListParagraph"/>
              <w:numPr>
                <w:ilvl w:val="0"/>
                <w:numId w:val="15"/>
              </w:numPr>
              <w:spacing w:before="120" w:after="120" w:line="240" w:lineRule="auto"/>
              <w:ind w:right="72"/>
              <w:rPr>
                <w:rFonts w:ascii="Arial" w:hAnsi="Arial" w:cs="Arial"/>
                <w:sz w:val="22"/>
                <w:szCs w:val="22"/>
              </w:rPr>
            </w:pPr>
            <w:r w:rsidRPr="00C60ECA">
              <w:rPr>
                <w:rFonts w:ascii="Arial" w:hAnsi="Arial" w:cs="Arial"/>
                <w:sz w:val="22"/>
                <w:szCs w:val="22"/>
              </w:rPr>
              <w:t xml:space="preserve">identify the service/activity, and the entity that performs the service/activity (if other than the Bidder), and the specific geographic location(s) in which the service/activity is performed; </w:t>
            </w:r>
          </w:p>
          <w:p w14:paraId="0BB80D52" w14:textId="77777777" w:rsidR="00C60ECA" w:rsidRPr="00C60ECA" w:rsidRDefault="00C60ECA" w:rsidP="00C60ECA">
            <w:pPr>
              <w:pStyle w:val="ListParagraph"/>
              <w:numPr>
                <w:ilvl w:val="0"/>
                <w:numId w:val="15"/>
              </w:numPr>
              <w:spacing w:before="120" w:after="120" w:line="240" w:lineRule="auto"/>
              <w:ind w:right="72"/>
              <w:rPr>
                <w:rFonts w:ascii="Arial" w:hAnsi="Arial" w:cs="Arial"/>
                <w:sz w:val="22"/>
                <w:szCs w:val="22"/>
              </w:rPr>
            </w:pPr>
            <w:r w:rsidRPr="00C60ECA">
              <w:rPr>
                <w:rFonts w:ascii="Arial" w:hAnsi="Arial" w:cs="Arial"/>
                <w:sz w:val="22"/>
                <w:szCs w:val="22"/>
              </w:rPr>
              <w:t xml:space="preserve">for each geographic location identified, describe the security and data protection safeguards that Bidder has implemented to protect against breaches, unauthorized access, and data misuse; and </w:t>
            </w:r>
          </w:p>
          <w:p w14:paraId="2EE3B1FF" w14:textId="77777777" w:rsidR="00C60ECA" w:rsidRPr="00C60ECA" w:rsidRDefault="00C60ECA" w:rsidP="00C60ECA">
            <w:pPr>
              <w:pStyle w:val="ListParagraph"/>
              <w:numPr>
                <w:ilvl w:val="0"/>
                <w:numId w:val="15"/>
              </w:numPr>
              <w:spacing w:before="120" w:after="120" w:line="240" w:lineRule="auto"/>
              <w:ind w:right="72"/>
              <w:rPr>
                <w:rFonts w:ascii="Arial" w:hAnsi="Arial" w:cs="Arial"/>
                <w:strike/>
                <w:color w:val="231F20"/>
                <w:sz w:val="22"/>
                <w:szCs w:val="22"/>
              </w:rPr>
            </w:pPr>
            <w:r w:rsidRPr="00C60ECA">
              <w:rPr>
                <w:rFonts w:ascii="Arial" w:eastAsia="Times New Roman" w:hAnsi="Arial" w:cs="Arial"/>
                <w:sz w:val="22"/>
                <w:szCs w:val="22"/>
              </w:rPr>
              <w:t>for each geographic location identified, describe the investigative and remedial measures that will be undertaken on behalf of DTF in the event of a breach or suspected malfeasance involving State data.</w:t>
            </w:r>
          </w:p>
        </w:tc>
      </w:tr>
      <w:tr w:rsidR="00C60ECA" w:rsidRPr="00732B10" w14:paraId="0778BC4B" w14:textId="77777777" w:rsidTr="001C31A4">
        <w:tc>
          <w:tcPr>
            <w:tcW w:w="720" w:type="dxa"/>
            <w:vMerge/>
            <w:tcBorders>
              <w:left w:val="single" w:sz="18" w:space="0" w:color="auto"/>
            </w:tcBorders>
            <w:shd w:val="clear" w:color="auto" w:fill="F2F2F2" w:themeFill="background1" w:themeFillShade="F2"/>
          </w:tcPr>
          <w:p w14:paraId="073D4880" w14:textId="77777777" w:rsidR="00C60ECA" w:rsidRPr="00C60ECA" w:rsidRDefault="00C60ECA" w:rsidP="007E1BF0">
            <w:pPr>
              <w:tabs>
                <w:tab w:val="left" w:pos="613"/>
              </w:tabs>
              <w:spacing w:before="60" w:after="120"/>
              <w:ind w:left="72" w:right="72"/>
              <w:rPr>
                <w:rFonts w:ascii="Arial" w:hAnsi="Arial" w:cs="Arial"/>
                <w:b/>
                <w:sz w:val="22"/>
                <w:szCs w:val="22"/>
              </w:rPr>
            </w:pPr>
          </w:p>
        </w:tc>
        <w:tc>
          <w:tcPr>
            <w:tcW w:w="4500" w:type="dxa"/>
            <w:vMerge/>
          </w:tcPr>
          <w:p w14:paraId="55130F5F" w14:textId="77777777" w:rsidR="00C60ECA" w:rsidRPr="00C60ECA" w:rsidRDefault="00C60ECA" w:rsidP="007E1BF0">
            <w:pPr>
              <w:spacing w:before="60" w:after="120"/>
              <w:ind w:left="72" w:right="72"/>
              <w:jc w:val="both"/>
              <w:rPr>
                <w:rFonts w:ascii="Arial" w:hAnsi="Arial" w:cs="Arial"/>
                <w:strike/>
                <w:sz w:val="22"/>
                <w:szCs w:val="22"/>
              </w:rPr>
            </w:pPr>
          </w:p>
        </w:tc>
        <w:tc>
          <w:tcPr>
            <w:tcW w:w="4590" w:type="dxa"/>
            <w:gridSpan w:val="2"/>
            <w:tcBorders>
              <w:top w:val="dotted" w:sz="4" w:space="0" w:color="auto"/>
              <w:bottom w:val="dotted" w:sz="4" w:space="0" w:color="auto"/>
              <w:right w:val="single" w:sz="18" w:space="0" w:color="auto"/>
            </w:tcBorders>
            <w:shd w:val="clear" w:color="auto" w:fill="FFF9E7"/>
          </w:tcPr>
          <w:p w14:paraId="5741842E" w14:textId="77777777" w:rsidR="00C60ECA" w:rsidRPr="00C60ECA" w:rsidRDefault="00C60ECA" w:rsidP="007E1BF0">
            <w:pPr>
              <w:spacing w:before="60" w:after="60"/>
              <w:ind w:left="103"/>
              <w:jc w:val="both"/>
              <w:rPr>
                <w:rFonts w:ascii="Arial" w:hAnsi="Arial" w:cs="Arial"/>
                <w:strike/>
                <w:sz w:val="22"/>
                <w:szCs w:val="22"/>
              </w:rPr>
            </w:pPr>
            <w:r w:rsidRPr="00C60ECA">
              <w:rPr>
                <w:rFonts w:ascii="Arial" w:hAnsi="Arial" w:cs="Arial"/>
                <w:b/>
                <w:bCs/>
                <w:sz w:val="22"/>
                <w:szCs w:val="22"/>
              </w:rPr>
              <w:t xml:space="preserve">Describe: </w:t>
            </w:r>
            <w:r w:rsidRPr="00C60ECA">
              <w:rPr>
                <w:b/>
                <w:bCs/>
                <w:noProof/>
              </w:rPr>
              <w:fldChar w:fldCharType="begin">
                <w:ffData>
                  <w:name w:val="Text4"/>
                  <w:enabled/>
                  <w:calcOnExit w:val="0"/>
                  <w:textInput/>
                </w:ffData>
              </w:fldChar>
            </w:r>
            <w:r w:rsidRPr="00C60ECA">
              <w:rPr>
                <w:rFonts w:ascii="Arial" w:hAnsi="Arial" w:cs="Arial"/>
                <w:b/>
                <w:bCs/>
                <w:noProof/>
                <w:sz w:val="22"/>
                <w:szCs w:val="22"/>
              </w:rPr>
              <w:instrText xml:space="preserve"> FORMTEXT </w:instrText>
            </w:r>
            <w:r w:rsidRPr="00C60ECA">
              <w:rPr>
                <w:b/>
                <w:bCs/>
                <w:noProof/>
              </w:rPr>
            </w:r>
            <w:r w:rsidRPr="00C60ECA">
              <w:rPr>
                <w:b/>
                <w:bCs/>
                <w:noProof/>
              </w:rPr>
              <w:fldChar w:fldCharType="separate"/>
            </w:r>
            <w:r w:rsidRPr="00C60ECA">
              <w:rPr>
                <w:rFonts w:ascii="Arial" w:hAnsi="Arial" w:cs="Arial"/>
                <w:b/>
                <w:bCs/>
                <w:noProof/>
                <w:sz w:val="22"/>
                <w:szCs w:val="22"/>
              </w:rPr>
              <w:t> </w:t>
            </w:r>
            <w:r w:rsidRPr="00C60ECA">
              <w:rPr>
                <w:rFonts w:ascii="Arial" w:hAnsi="Arial" w:cs="Arial"/>
                <w:b/>
                <w:bCs/>
                <w:noProof/>
                <w:sz w:val="22"/>
                <w:szCs w:val="22"/>
              </w:rPr>
              <w:t> </w:t>
            </w:r>
            <w:r w:rsidRPr="00C60ECA">
              <w:rPr>
                <w:rFonts w:ascii="Arial" w:hAnsi="Arial" w:cs="Arial"/>
                <w:b/>
                <w:bCs/>
                <w:noProof/>
                <w:sz w:val="22"/>
                <w:szCs w:val="22"/>
              </w:rPr>
              <w:t> </w:t>
            </w:r>
            <w:r w:rsidRPr="00C60ECA">
              <w:rPr>
                <w:rFonts w:ascii="Arial" w:hAnsi="Arial" w:cs="Arial"/>
                <w:b/>
                <w:bCs/>
                <w:noProof/>
                <w:sz w:val="22"/>
                <w:szCs w:val="22"/>
              </w:rPr>
              <w:t> </w:t>
            </w:r>
            <w:r w:rsidRPr="00C60ECA">
              <w:rPr>
                <w:rFonts w:ascii="Arial" w:hAnsi="Arial" w:cs="Arial"/>
                <w:b/>
                <w:bCs/>
                <w:noProof/>
                <w:sz w:val="22"/>
                <w:szCs w:val="22"/>
              </w:rPr>
              <w:t> </w:t>
            </w:r>
            <w:r w:rsidRPr="00C60ECA">
              <w:rPr>
                <w:b/>
                <w:bCs/>
                <w:noProof/>
              </w:rPr>
              <w:fldChar w:fldCharType="end"/>
            </w:r>
          </w:p>
        </w:tc>
      </w:tr>
      <w:tr w:rsidR="00C60ECA" w:rsidRPr="00732B10" w14:paraId="77822CC7" w14:textId="77777777" w:rsidTr="001C31A4">
        <w:tc>
          <w:tcPr>
            <w:tcW w:w="720" w:type="dxa"/>
            <w:vMerge/>
            <w:tcBorders>
              <w:left w:val="single" w:sz="18" w:space="0" w:color="auto"/>
              <w:bottom w:val="single" w:sz="18" w:space="0" w:color="auto"/>
            </w:tcBorders>
            <w:shd w:val="clear" w:color="auto" w:fill="F2F2F2" w:themeFill="background1" w:themeFillShade="F2"/>
          </w:tcPr>
          <w:p w14:paraId="3DDC4C15" w14:textId="77777777" w:rsidR="00C60ECA" w:rsidRPr="00C60ECA" w:rsidRDefault="00C60ECA" w:rsidP="007E1BF0">
            <w:pPr>
              <w:tabs>
                <w:tab w:val="left" w:pos="613"/>
              </w:tabs>
              <w:spacing w:before="60" w:after="120"/>
              <w:ind w:left="72" w:right="72"/>
              <w:rPr>
                <w:rFonts w:ascii="Arial" w:hAnsi="Arial" w:cs="Arial"/>
                <w:b/>
                <w:sz w:val="22"/>
                <w:szCs w:val="22"/>
              </w:rPr>
            </w:pPr>
          </w:p>
        </w:tc>
        <w:tc>
          <w:tcPr>
            <w:tcW w:w="4500" w:type="dxa"/>
            <w:vMerge/>
            <w:tcBorders>
              <w:bottom w:val="single" w:sz="18" w:space="0" w:color="auto"/>
            </w:tcBorders>
          </w:tcPr>
          <w:p w14:paraId="475F9C5E" w14:textId="77777777" w:rsidR="00C60ECA" w:rsidRPr="00C60ECA" w:rsidRDefault="00C60ECA" w:rsidP="007E1BF0">
            <w:pPr>
              <w:spacing w:before="60" w:after="120"/>
              <w:ind w:left="72" w:right="72"/>
              <w:jc w:val="both"/>
              <w:rPr>
                <w:rFonts w:ascii="Arial" w:hAnsi="Arial" w:cs="Arial"/>
                <w:strike/>
                <w:sz w:val="22"/>
                <w:szCs w:val="22"/>
              </w:rPr>
            </w:pPr>
          </w:p>
        </w:tc>
        <w:tc>
          <w:tcPr>
            <w:tcW w:w="4590" w:type="dxa"/>
            <w:gridSpan w:val="2"/>
            <w:tcBorders>
              <w:top w:val="dotted" w:sz="4" w:space="0" w:color="auto"/>
              <w:bottom w:val="single" w:sz="18" w:space="0" w:color="auto"/>
              <w:right w:val="single" w:sz="18" w:space="0" w:color="auto"/>
            </w:tcBorders>
            <w:shd w:val="clear" w:color="auto" w:fill="auto"/>
          </w:tcPr>
          <w:p w14:paraId="39FE9AB7" w14:textId="77777777" w:rsidR="00C60ECA" w:rsidRPr="00C60ECA" w:rsidRDefault="00C60ECA" w:rsidP="007E1BF0">
            <w:pPr>
              <w:ind w:left="103"/>
              <w:jc w:val="both"/>
              <w:rPr>
                <w:rFonts w:ascii="Arial" w:hAnsi="Arial" w:cs="Arial"/>
                <w:b/>
                <w:bCs/>
                <w:sz w:val="22"/>
                <w:szCs w:val="22"/>
              </w:rPr>
            </w:pPr>
          </w:p>
        </w:tc>
      </w:tr>
      <w:tr w:rsidR="00C60ECA" w:rsidRPr="00732B10" w14:paraId="7CCBB8D0" w14:textId="77777777" w:rsidTr="001C31A4">
        <w:tc>
          <w:tcPr>
            <w:tcW w:w="720" w:type="dxa"/>
            <w:vMerge w:val="restart"/>
            <w:tcBorders>
              <w:top w:val="single" w:sz="18" w:space="0" w:color="auto"/>
              <w:left w:val="single" w:sz="18" w:space="0" w:color="auto"/>
            </w:tcBorders>
            <w:shd w:val="clear" w:color="auto" w:fill="F2F2F2" w:themeFill="background1" w:themeFillShade="F2"/>
          </w:tcPr>
          <w:p w14:paraId="57FCC760" w14:textId="77777777" w:rsidR="00C60ECA" w:rsidRPr="00732B10" w:rsidRDefault="00C60ECA" w:rsidP="007E1BF0">
            <w:pPr>
              <w:tabs>
                <w:tab w:val="left" w:pos="613"/>
              </w:tabs>
              <w:spacing w:before="120" w:after="120"/>
              <w:ind w:left="72" w:right="72"/>
              <w:rPr>
                <w:rFonts w:ascii="Arial" w:hAnsi="Arial" w:cs="Arial"/>
                <w:b/>
                <w:bCs/>
              </w:rPr>
            </w:pPr>
            <w:r w:rsidRPr="00732B10">
              <w:rPr>
                <w:rFonts w:ascii="Arial" w:hAnsi="Arial" w:cs="Arial"/>
                <w:b/>
                <w:bCs/>
              </w:rPr>
              <w:t>1.2</w:t>
            </w:r>
          </w:p>
        </w:tc>
        <w:tc>
          <w:tcPr>
            <w:tcW w:w="4500" w:type="dxa"/>
            <w:vMerge w:val="restart"/>
            <w:tcBorders>
              <w:top w:val="single" w:sz="18" w:space="0" w:color="auto"/>
            </w:tcBorders>
            <w:shd w:val="clear" w:color="auto" w:fill="auto"/>
          </w:tcPr>
          <w:p w14:paraId="17799C19" w14:textId="291E2A9E" w:rsidR="00C60ECA" w:rsidRPr="00C60ECA" w:rsidRDefault="00C60ECA" w:rsidP="007E1BF0">
            <w:pPr>
              <w:tabs>
                <w:tab w:val="num" w:pos="880"/>
                <w:tab w:val="left" w:pos="1559"/>
                <w:tab w:val="left" w:pos="1560"/>
              </w:tabs>
              <w:spacing w:before="120" w:after="120"/>
              <w:ind w:left="72" w:right="72"/>
              <w:jc w:val="both"/>
              <w:rPr>
                <w:rFonts w:ascii="Arial" w:hAnsi="Arial" w:cs="Arial"/>
                <w:strike/>
                <w:sz w:val="22"/>
                <w:szCs w:val="22"/>
              </w:rPr>
            </w:pPr>
            <w:r w:rsidRPr="00C60ECA">
              <w:rPr>
                <w:rFonts w:ascii="Arial" w:hAnsi="Arial" w:cs="Arial"/>
                <w:sz w:val="22"/>
                <w:szCs w:val="22"/>
              </w:rPr>
              <w:t xml:space="preserve">During the term of the Agreement, including any extensions, the Contractor must provide DTF with written </w:t>
            </w:r>
            <w:r w:rsidRPr="002023A6">
              <w:rPr>
                <w:rFonts w:ascii="Arial" w:hAnsi="Arial" w:cs="Arial"/>
                <w:strike/>
                <w:color w:val="C00000"/>
                <w:sz w:val="22"/>
                <w:szCs w:val="22"/>
              </w:rPr>
              <w:t xml:space="preserve">advance </w:t>
            </w:r>
            <w:r w:rsidRPr="00C60ECA">
              <w:rPr>
                <w:rFonts w:ascii="Arial" w:hAnsi="Arial" w:cs="Arial"/>
                <w:sz w:val="22"/>
                <w:szCs w:val="22"/>
              </w:rPr>
              <w:t xml:space="preserve">notice of any proposed change(s) to the geographical Site(s) where Services are performed (identified in its Proposal). </w:t>
            </w:r>
            <w:r w:rsidRPr="002023A6">
              <w:rPr>
                <w:rFonts w:ascii="Arial" w:hAnsi="Arial" w:cs="Arial"/>
                <w:strike/>
                <w:color w:val="C00000"/>
                <w:sz w:val="22"/>
                <w:szCs w:val="22"/>
              </w:rPr>
              <w:t xml:space="preserve">The </w:t>
            </w:r>
            <w:r w:rsidR="002023A6" w:rsidRPr="002023A6">
              <w:rPr>
                <w:rFonts w:ascii="Arial" w:hAnsi="Arial" w:cs="Arial"/>
                <w:color w:val="2F5496" w:themeColor="accent1" w:themeShade="BF"/>
                <w:sz w:val="22"/>
                <w:szCs w:val="22"/>
                <w:u w:val="single"/>
              </w:rPr>
              <w:t>Unless prohibited by law from releasing such information prior to changing a location(s) identified in its Proposal, the</w:t>
            </w:r>
            <w:r w:rsidR="002023A6">
              <w:rPr>
                <w:rFonts w:ascii="Arial" w:hAnsi="Arial" w:cs="Arial"/>
                <w:sz w:val="22"/>
                <w:szCs w:val="22"/>
              </w:rPr>
              <w:t xml:space="preserve"> </w:t>
            </w:r>
            <w:r w:rsidRPr="00C60ECA">
              <w:rPr>
                <w:rFonts w:ascii="Arial" w:hAnsi="Arial" w:cs="Arial"/>
                <w:sz w:val="22"/>
                <w:szCs w:val="22"/>
              </w:rPr>
              <w:t>Contractor will provide such notice</w:t>
            </w:r>
            <w:r w:rsidR="002023A6">
              <w:rPr>
                <w:rFonts w:ascii="Arial" w:hAnsi="Arial" w:cs="Arial"/>
                <w:sz w:val="22"/>
                <w:szCs w:val="22"/>
              </w:rPr>
              <w:t xml:space="preserve"> </w:t>
            </w:r>
            <w:r w:rsidR="002023A6" w:rsidRPr="002023A6">
              <w:rPr>
                <w:rFonts w:ascii="Arial" w:hAnsi="Arial" w:cs="Arial"/>
                <w:color w:val="2F5496" w:themeColor="accent1" w:themeShade="BF"/>
                <w:sz w:val="22"/>
                <w:szCs w:val="22"/>
                <w:u w:val="single"/>
              </w:rPr>
              <w:t>to DTF</w:t>
            </w:r>
            <w:r w:rsidRPr="00C60ECA">
              <w:rPr>
                <w:rFonts w:ascii="Arial" w:hAnsi="Arial" w:cs="Arial"/>
                <w:sz w:val="22"/>
                <w:szCs w:val="22"/>
              </w:rPr>
              <w:t xml:space="preserve">: (1) </w:t>
            </w:r>
            <w:r w:rsidRPr="002023A6">
              <w:rPr>
                <w:rFonts w:ascii="Arial" w:hAnsi="Arial" w:cs="Arial"/>
                <w:strike/>
                <w:color w:val="C00000"/>
                <w:sz w:val="22"/>
                <w:szCs w:val="22"/>
              </w:rPr>
              <w:t>a minimum of 60 days’ before</w:t>
            </w:r>
            <w:r w:rsidRPr="00C60ECA">
              <w:rPr>
                <w:rFonts w:ascii="Arial" w:hAnsi="Arial" w:cs="Arial"/>
                <w:sz w:val="22"/>
                <w:szCs w:val="22"/>
              </w:rPr>
              <w:t xml:space="preserve"> </w:t>
            </w:r>
            <w:r w:rsidR="002023A6" w:rsidRPr="002023A6">
              <w:rPr>
                <w:rFonts w:ascii="Arial" w:hAnsi="Arial" w:cs="Arial"/>
                <w:color w:val="2F5496" w:themeColor="accent1" w:themeShade="BF"/>
                <w:sz w:val="22"/>
                <w:szCs w:val="22"/>
                <w:u w:val="single"/>
              </w:rPr>
              <w:t>promptly, upon determining to make a change, but no later than 10 days prior to</w:t>
            </w:r>
            <w:r w:rsidR="002023A6" w:rsidRPr="002023A6">
              <w:rPr>
                <w:rFonts w:ascii="Arial" w:hAnsi="Arial" w:cs="Arial"/>
                <w:color w:val="2F5496" w:themeColor="accent1" w:themeShade="BF"/>
                <w:sz w:val="22"/>
                <w:szCs w:val="22"/>
              </w:rPr>
              <w:t xml:space="preserve"> </w:t>
            </w:r>
            <w:r w:rsidRPr="00C60ECA">
              <w:rPr>
                <w:rFonts w:ascii="Arial" w:hAnsi="Arial" w:cs="Arial"/>
                <w:sz w:val="22"/>
                <w:szCs w:val="22"/>
              </w:rPr>
              <w:t xml:space="preserve">changing to a different geographical location within CONUS; and (2) </w:t>
            </w:r>
            <w:r w:rsidRPr="002023A6">
              <w:rPr>
                <w:rFonts w:ascii="Arial" w:hAnsi="Arial" w:cs="Arial"/>
                <w:strike/>
                <w:color w:val="C00000"/>
                <w:sz w:val="22"/>
                <w:szCs w:val="22"/>
              </w:rPr>
              <w:t>a minimum of  180 days’ before</w:t>
            </w:r>
            <w:r w:rsidR="002023A6">
              <w:rPr>
                <w:rFonts w:ascii="Arial" w:hAnsi="Arial" w:cs="Arial"/>
                <w:strike/>
                <w:color w:val="C00000"/>
                <w:sz w:val="22"/>
                <w:szCs w:val="22"/>
              </w:rPr>
              <w:t xml:space="preserve"> </w:t>
            </w:r>
            <w:r w:rsidR="002023A6" w:rsidRPr="002023A6">
              <w:rPr>
                <w:rFonts w:ascii="Arial" w:hAnsi="Arial" w:cs="Arial"/>
                <w:color w:val="2F5496" w:themeColor="accent1" w:themeShade="BF"/>
                <w:sz w:val="22"/>
                <w:szCs w:val="22"/>
                <w:u w:val="single"/>
              </w:rPr>
              <w:t xml:space="preserve">promptly, upon determining to make </w:t>
            </w:r>
            <w:r w:rsidR="002023A6" w:rsidRPr="002023A6">
              <w:rPr>
                <w:rFonts w:ascii="Arial" w:hAnsi="Arial" w:cs="Arial"/>
                <w:color w:val="2F5496" w:themeColor="accent1" w:themeShade="BF"/>
                <w:sz w:val="22"/>
                <w:szCs w:val="22"/>
                <w:u w:val="single"/>
              </w:rPr>
              <w:lastRenderedPageBreak/>
              <w:t>a change, but no later than 60 days</w:t>
            </w:r>
            <w:r w:rsidR="002023A6">
              <w:rPr>
                <w:rFonts w:ascii="Arial" w:hAnsi="Arial" w:cs="Arial"/>
                <w:color w:val="2F5496" w:themeColor="accent1" w:themeShade="BF"/>
                <w:sz w:val="22"/>
                <w:szCs w:val="22"/>
                <w:u w:val="single"/>
              </w:rPr>
              <w:t xml:space="preserve"> prior to</w:t>
            </w:r>
            <w:r w:rsidRPr="002023A6">
              <w:rPr>
                <w:rFonts w:ascii="Arial" w:hAnsi="Arial" w:cs="Arial"/>
                <w:color w:val="2F5496" w:themeColor="accent1" w:themeShade="BF"/>
                <w:sz w:val="22"/>
                <w:szCs w:val="22"/>
              </w:rPr>
              <w:t xml:space="preserve"> </w:t>
            </w:r>
            <w:r w:rsidRPr="00C60ECA">
              <w:rPr>
                <w:rFonts w:ascii="Arial" w:hAnsi="Arial" w:cs="Arial"/>
                <w:sz w:val="22"/>
                <w:szCs w:val="22"/>
              </w:rPr>
              <w:t>changing to a geographical location outside of CONUS.</w:t>
            </w:r>
            <w:r w:rsidR="002023A6">
              <w:rPr>
                <w:rFonts w:ascii="Arial" w:hAnsi="Arial" w:cs="Arial"/>
                <w:sz w:val="22"/>
                <w:szCs w:val="22"/>
              </w:rPr>
              <w:t xml:space="preserve"> </w:t>
            </w:r>
            <w:r w:rsidR="002023A6" w:rsidRPr="002023A6">
              <w:rPr>
                <w:rFonts w:ascii="Arial" w:hAnsi="Arial" w:cs="Arial"/>
                <w:color w:val="2F5496" w:themeColor="accent1" w:themeShade="BF"/>
                <w:sz w:val="22"/>
                <w:szCs w:val="22"/>
                <w:u w:val="single"/>
              </w:rPr>
              <w:t>If the Contractor cannot disclose the change(s) in advance due to legal restrictions on the release of the information, such change(s) will be provided to DTF at the earliest possible date consistent with applicable law.</w:t>
            </w:r>
          </w:p>
        </w:tc>
        <w:tc>
          <w:tcPr>
            <w:tcW w:w="4590" w:type="dxa"/>
            <w:gridSpan w:val="2"/>
            <w:tcBorders>
              <w:top w:val="single" w:sz="18" w:space="0" w:color="auto"/>
              <w:bottom w:val="dotted" w:sz="4" w:space="0" w:color="auto"/>
              <w:right w:val="single" w:sz="18" w:space="0" w:color="auto"/>
            </w:tcBorders>
            <w:shd w:val="clear" w:color="auto" w:fill="auto"/>
          </w:tcPr>
          <w:p w14:paraId="2F6625FA" w14:textId="77777777" w:rsidR="00C60ECA" w:rsidRPr="00C60ECA" w:rsidRDefault="00C60ECA" w:rsidP="007E1BF0">
            <w:pPr>
              <w:tabs>
                <w:tab w:val="left" w:pos="1559"/>
                <w:tab w:val="left" w:pos="1560"/>
              </w:tabs>
              <w:spacing w:before="120" w:after="120"/>
              <w:ind w:left="72" w:right="72"/>
              <w:jc w:val="both"/>
              <w:rPr>
                <w:rFonts w:ascii="Arial" w:hAnsi="Arial" w:cs="Arial"/>
                <w:b/>
                <w:bCs/>
                <w:sz w:val="22"/>
                <w:szCs w:val="22"/>
              </w:rPr>
            </w:pPr>
            <w:r w:rsidRPr="00C60ECA">
              <w:rPr>
                <w:rFonts w:ascii="Arial" w:hAnsi="Arial" w:cs="Arial"/>
                <w:color w:val="231F20"/>
                <w:sz w:val="22"/>
                <w:szCs w:val="22"/>
              </w:rPr>
              <w:lastRenderedPageBreak/>
              <w:t xml:space="preserve">The Bidder must affirm understanding of, and agreement to comply with, this Requirement.  </w:t>
            </w:r>
          </w:p>
        </w:tc>
      </w:tr>
      <w:tr w:rsidR="00C60ECA" w:rsidRPr="00732B10" w14:paraId="32F18394" w14:textId="77777777" w:rsidTr="001C31A4">
        <w:tc>
          <w:tcPr>
            <w:tcW w:w="720" w:type="dxa"/>
            <w:vMerge/>
            <w:tcBorders>
              <w:left w:val="single" w:sz="18" w:space="0" w:color="auto"/>
            </w:tcBorders>
            <w:shd w:val="clear" w:color="auto" w:fill="F2F2F2" w:themeFill="background1" w:themeFillShade="F2"/>
          </w:tcPr>
          <w:p w14:paraId="2E7E1154" w14:textId="77777777" w:rsidR="00C60ECA" w:rsidRPr="00732B10" w:rsidRDefault="00C60ECA" w:rsidP="007E1BF0">
            <w:pPr>
              <w:tabs>
                <w:tab w:val="left" w:pos="613"/>
              </w:tabs>
              <w:spacing w:before="60" w:after="120"/>
              <w:ind w:left="72" w:right="72"/>
              <w:rPr>
                <w:rFonts w:ascii="Arial" w:hAnsi="Arial" w:cs="Arial"/>
                <w:b/>
                <w:bCs/>
              </w:rPr>
            </w:pPr>
          </w:p>
        </w:tc>
        <w:tc>
          <w:tcPr>
            <w:tcW w:w="4500" w:type="dxa"/>
            <w:vMerge/>
            <w:shd w:val="clear" w:color="auto" w:fill="auto"/>
          </w:tcPr>
          <w:p w14:paraId="356B9078" w14:textId="77777777" w:rsidR="00C60ECA" w:rsidRPr="00732B10" w:rsidRDefault="00C60ECA" w:rsidP="007E1BF0">
            <w:pPr>
              <w:tabs>
                <w:tab w:val="left" w:pos="1559"/>
                <w:tab w:val="left" w:pos="1560"/>
              </w:tabs>
              <w:spacing w:before="60" w:after="120"/>
              <w:ind w:left="72" w:right="72"/>
              <w:jc w:val="both"/>
              <w:rPr>
                <w:rFonts w:ascii="Arial" w:hAnsi="Arial" w:cs="Arial"/>
                <w:strike/>
              </w:rPr>
            </w:pPr>
          </w:p>
        </w:tc>
        <w:tc>
          <w:tcPr>
            <w:tcW w:w="990" w:type="dxa"/>
            <w:tcBorders>
              <w:top w:val="dotted" w:sz="4" w:space="0" w:color="auto"/>
              <w:bottom w:val="dotted" w:sz="4" w:space="0" w:color="auto"/>
              <w:right w:val="nil"/>
            </w:tcBorders>
            <w:shd w:val="clear" w:color="auto" w:fill="FFF9E7"/>
          </w:tcPr>
          <w:p w14:paraId="7A9213F9" w14:textId="77777777" w:rsidR="00C60ECA" w:rsidRPr="00732B10" w:rsidRDefault="007A1D78" w:rsidP="007E1BF0">
            <w:pPr>
              <w:tabs>
                <w:tab w:val="left" w:pos="1559"/>
                <w:tab w:val="left" w:pos="1560"/>
              </w:tabs>
              <w:spacing w:before="60" w:after="60"/>
              <w:ind w:left="72" w:right="72"/>
              <w:jc w:val="both"/>
              <w:rPr>
                <w:rFonts w:ascii="Arial" w:hAnsi="Arial" w:cs="Arial"/>
                <w:b/>
                <w:bCs/>
                <w:strike/>
              </w:rPr>
            </w:pPr>
            <w:sdt>
              <w:sdtPr>
                <w:rPr>
                  <w:sz w:val="40"/>
                </w:rPr>
                <w:id w:val="282771420"/>
                <w14:checkbox>
                  <w14:checked w14:val="0"/>
                  <w14:checkedState w14:val="2612" w14:font="MS Gothic"/>
                  <w14:uncheckedState w14:val="2610" w14:font="MS Gothic"/>
                </w14:checkbox>
              </w:sdtPr>
              <w:sdtEndPr/>
              <w:sdtContent>
                <w:r w:rsidR="00C60ECA" w:rsidRPr="00732B10">
                  <w:rPr>
                    <w:rFonts w:ascii="MS Gothic" w:eastAsia="MS Gothic" w:hAnsi="MS Gothic" w:cs="Arial" w:hint="eastAsia"/>
                    <w:sz w:val="40"/>
                  </w:rPr>
                  <w:t>☐</w:t>
                </w:r>
              </w:sdtContent>
            </w:sdt>
          </w:p>
        </w:tc>
        <w:tc>
          <w:tcPr>
            <w:tcW w:w="3600" w:type="dxa"/>
            <w:tcBorders>
              <w:top w:val="dotted" w:sz="4" w:space="0" w:color="auto"/>
              <w:left w:val="nil"/>
              <w:bottom w:val="dotted" w:sz="4" w:space="0" w:color="auto"/>
              <w:right w:val="single" w:sz="18" w:space="0" w:color="auto"/>
            </w:tcBorders>
            <w:shd w:val="clear" w:color="auto" w:fill="FFF9E7"/>
          </w:tcPr>
          <w:p w14:paraId="51152321" w14:textId="77777777" w:rsidR="00C60ECA" w:rsidRPr="00C60ECA" w:rsidRDefault="00C60ECA" w:rsidP="007E1BF0">
            <w:pPr>
              <w:tabs>
                <w:tab w:val="left" w:pos="1559"/>
                <w:tab w:val="left" w:pos="1560"/>
              </w:tabs>
              <w:spacing w:before="60" w:after="60"/>
              <w:ind w:right="72"/>
              <w:jc w:val="both"/>
              <w:rPr>
                <w:rFonts w:ascii="Arial" w:hAnsi="Arial" w:cs="Arial"/>
                <w:b/>
                <w:bCs/>
                <w:sz w:val="22"/>
                <w:szCs w:val="22"/>
              </w:rPr>
            </w:pPr>
            <w:r w:rsidRPr="00C60ECA">
              <w:rPr>
                <w:rFonts w:ascii="Arial" w:hAnsi="Arial" w:cs="Arial"/>
                <w:sz w:val="22"/>
                <w:szCs w:val="22"/>
              </w:rPr>
              <w:t>Yes, the Bidder affirms its understanding of, and agreement to comply with, this Requirement.</w:t>
            </w:r>
          </w:p>
        </w:tc>
      </w:tr>
      <w:tr w:rsidR="00C60ECA" w:rsidRPr="00732B10" w14:paraId="49EEB356" w14:textId="77777777" w:rsidTr="001C31A4">
        <w:tc>
          <w:tcPr>
            <w:tcW w:w="720" w:type="dxa"/>
            <w:vMerge/>
            <w:tcBorders>
              <w:left w:val="single" w:sz="18" w:space="0" w:color="auto"/>
              <w:bottom w:val="single" w:sz="18" w:space="0" w:color="auto"/>
            </w:tcBorders>
            <w:shd w:val="clear" w:color="auto" w:fill="F2F2F2" w:themeFill="background1" w:themeFillShade="F2"/>
          </w:tcPr>
          <w:p w14:paraId="76518F64" w14:textId="77777777" w:rsidR="00C60ECA" w:rsidRPr="00732B10" w:rsidRDefault="00C60ECA" w:rsidP="007E1BF0">
            <w:pPr>
              <w:tabs>
                <w:tab w:val="left" w:pos="613"/>
              </w:tabs>
              <w:spacing w:before="60" w:after="120"/>
              <w:ind w:left="72" w:right="72"/>
              <w:rPr>
                <w:rFonts w:ascii="Arial" w:hAnsi="Arial" w:cs="Arial"/>
                <w:b/>
                <w:bCs/>
              </w:rPr>
            </w:pPr>
          </w:p>
        </w:tc>
        <w:tc>
          <w:tcPr>
            <w:tcW w:w="4500" w:type="dxa"/>
            <w:vMerge/>
            <w:tcBorders>
              <w:bottom w:val="single" w:sz="18" w:space="0" w:color="auto"/>
            </w:tcBorders>
            <w:shd w:val="clear" w:color="auto" w:fill="auto"/>
          </w:tcPr>
          <w:p w14:paraId="31F6EC3C" w14:textId="77777777" w:rsidR="00C60ECA" w:rsidRPr="00732B10" w:rsidRDefault="00C60ECA" w:rsidP="007E1BF0">
            <w:pPr>
              <w:tabs>
                <w:tab w:val="left" w:pos="1559"/>
                <w:tab w:val="left" w:pos="1560"/>
              </w:tabs>
              <w:spacing w:before="60" w:after="120"/>
              <w:ind w:left="72" w:right="72"/>
              <w:jc w:val="both"/>
              <w:rPr>
                <w:rFonts w:ascii="Arial" w:hAnsi="Arial" w:cs="Arial"/>
                <w:strike/>
              </w:rPr>
            </w:pPr>
          </w:p>
        </w:tc>
        <w:tc>
          <w:tcPr>
            <w:tcW w:w="4590" w:type="dxa"/>
            <w:gridSpan w:val="2"/>
            <w:tcBorders>
              <w:top w:val="dotted" w:sz="4" w:space="0" w:color="auto"/>
              <w:bottom w:val="single" w:sz="18" w:space="0" w:color="auto"/>
              <w:right w:val="single" w:sz="18" w:space="0" w:color="auto"/>
            </w:tcBorders>
            <w:shd w:val="clear" w:color="auto" w:fill="auto"/>
          </w:tcPr>
          <w:p w14:paraId="68D18BD7" w14:textId="77777777" w:rsidR="00C60ECA" w:rsidRPr="00732B10" w:rsidRDefault="00C60ECA" w:rsidP="007E1BF0">
            <w:pPr>
              <w:tabs>
                <w:tab w:val="left" w:pos="1559"/>
                <w:tab w:val="left" w:pos="1560"/>
              </w:tabs>
              <w:ind w:right="72"/>
              <w:jc w:val="both"/>
              <w:rPr>
                <w:rFonts w:ascii="Arial" w:hAnsi="Arial" w:cs="Arial"/>
              </w:rPr>
            </w:pPr>
          </w:p>
        </w:tc>
      </w:tr>
      <w:tr w:rsidR="00C60ECA" w:rsidRPr="00732B10" w14:paraId="625CED65" w14:textId="77777777" w:rsidTr="001C31A4">
        <w:tc>
          <w:tcPr>
            <w:tcW w:w="72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6562CA39" w14:textId="77777777" w:rsidR="00C60ECA" w:rsidRPr="00DC6931" w:rsidRDefault="00C60ECA" w:rsidP="00C60ECA">
            <w:pPr>
              <w:pStyle w:val="ListParagraph"/>
              <w:numPr>
                <w:ilvl w:val="0"/>
                <w:numId w:val="16"/>
              </w:numPr>
              <w:tabs>
                <w:tab w:val="left" w:pos="613"/>
              </w:tabs>
              <w:spacing w:after="0" w:line="240" w:lineRule="auto"/>
              <w:ind w:right="72"/>
              <w:rPr>
                <w:rFonts w:ascii="Arial" w:hAnsi="Arial" w:cs="Arial"/>
                <w:b/>
                <w:bCs/>
                <w:sz w:val="24"/>
                <w:szCs w:val="24"/>
              </w:rPr>
            </w:pPr>
            <w:bookmarkStart w:id="7" w:name="_Hlk155347076"/>
          </w:p>
        </w:tc>
        <w:tc>
          <w:tcPr>
            <w:tcW w:w="9090"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19F4E0B3" w14:textId="77777777" w:rsidR="00C60ECA" w:rsidRPr="00DC6931" w:rsidRDefault="00C60ECA" w:rsidP="007E1BF0">
            <w:pPr>
              <w:tabs>
                <w:tab w:val="left" w:pos="613"/>
              </w:tabs>
              <w:ind w:left="72" w:right="72"/>
              <w:jc w:val="both"/>
              <w:rPr>
                <w:rFonts w:ascii="Arial" w:hAnsi="Arial" w:cs="Arial"/>
                <w:b/>
                <w:bCs/>
                <w:sz w:val="24"/>
                <w:szCs w:val="24"/>
              </w:rPr>
            </w:pPr>
            <w:r w:rsidRPr="00DC6931">
              <w:rPr>
                <w:rFonts w:ascii="Arial" w:hAnsi="Arial" w:cs="Arial"/>
                <w:b/>
                <w:bCs/>
                <w:sz w:val="24"/>
                <w:szCs w:val="24"/>
              </w:rPr>
              <w:t>INTERNAL CONTROLS AND SECURITY FOR PHYSICAL ASSETS AND DATA</w:t>
            </w:r>
          </w:p>
        </w:tc>
      </w:tr>
      <w:tr w:rsidR="00C60ECA" w:rsidRPr="00732B10" w14:paraId="73D533E2" w14:textId="77777777" w:rsidTr="001C31A4">
        <w:trPr>
          <w:trHeight w:val="441"/>
        </w:trPr>
        <w:tc>
          <w:tcPr>
            <w:tcW w:w="720" w:type="dxa"/>
            <w:vMerge w:val="restart"/>
            <w:tcBorders>
              <w:top w:val="single" w:sz="18" w:space="0" w:color="auto"/>
              <w:left w:val="single" w:sz="18" w:space="0" w:color="auto"/>
            </w:tcBorders>
            <w:shd w:val="clear" w:color="auto" w:fill="F2F2F2" w:themeFill="background1" w:themeFillShade="F2"/>
          </w:tcPr>
          <w:p w14:paraId="220C28A4" w14:textId="77777777" w:rsidR="00C60ECA" w:rsidRPr="00732B10" w:rsidRDefault="00C60ECA" w:rsidP="007E1BF0">
            <w:pPr>
              <w:tabs>
                <w:tab w:val="left" w:pos="613"/>
              </w:tabs>
              <w:spacing w:before="120" w:after="120"/>
              <w:ind w:left="72" w:right="72"/>
              <w:rPr>
                <w:rFonts w:ascii="Arial" w:hAnsi="Arial" w:cs="Arial"/>
              </w:rPr>
            </w:pPr>
            <w:r w:rsidRPr="00732B10">
              <w:rPr>
                <w:rFonts w:ascii="Arial" w:hAnsi="Arial" w:cs="Arial"/>
                <w:b/>
              </w:rPr>
              <w:t>2.1</w:t>
            </w:r>
          </w:p>
        </w:tc>
        <w:tc>
          <w:tcPr>
            <w:tcW w:w="4500" w:type="dxa"/>
            <w:vMerge w:val="restart"/>
            <w:tcBorders>
              <w:top w:val="single" w:sz="18" w:space="0" w:color="auto"/>
            </w:tcBorders>
          </w:tcPr>
          <w:p w14:paraId="477FD31A" w14:textId="77777777" w:rsidR="00C60ECA" w:rsidRPr="00C60ECA" w:rsidRDefault="00C60ECA" w:rsidP="004C5D77">
            <w:pPr>
              <w:tabs>
                <w:tab w:val="num" w:pos="880"/>
                <w:tab w:val="left" w:pos="1559"/>
                <w:tab w:val="left" w:pos="1560"/>
              </w:tabs>
              <w:spacing w:before="60" w:after="120"/>
              <w:ind w:left="72" w:right="72"/>
              <w:jc w:val="both"/>
              <w:rPr>
                <w:rFonts w:ascii="Arial" w:hAnsi="Arial" w:cs="Arial"/>
                <w:sz w:val="22"/>
                <w:szCs w:val="22"/>
              </w:rPr>
            </w:pPr>
            <w:r w:rsidRPr="00C60ECA">
              <w:rPr>
                <w:rFonts w:ascii="Arial" w:hAnsi="Arial" w:cs="Arial"/>
                <w:sz w:val="22"/>
                <w:szCs w:val="22"/>
              </w:rPr>
              <w:t>The Contractor must be able to assure the security, confidentiality, integrity, and availability of Department Data in accordance with:</w:t>
            </w:r>
          </w:p>
          <w:p w14:paraId="0DD256C7" w14:textId="77777777" w:rsidR="00C60ECA" w:rsidRPr="00C60ECA" w:rsidRDefault="00C60ECA" w:rsidP="00C60ECA">
            <w:pPr>
              <w:pStyle w:val="ListParagraph"/>
              <w:numPr>
                <w:ilvl w:val="0"/>
                <w:numId w:val="23"/>
              </w:numPr>
              <w:spacing w:before="120" w:after="120" w:line="240" w:lineRule="auto"/>
              <w:ind w:left="433"/>
              <w:rPr>
                <w:rFonts w:ascii="Arial" w:hAnsi="Arial" w:cs="Arial"/>
                <w:sz w:val="22"/>
                <w:szCs w:val="22"/>
              </w:rPr>
            </w:pPr>
            <w:r w:rsidRPr="00C60ECA">
              <w:rPr>
                <w:rFonts w:ascii="Arial" w:hAnsi="Arial" w:cs="Arial"/>
                <w:sz w:val="22"/>
                <w:szCs w:val="22"/>
              </w:rPr>
              <w:t>Generally accepted information security policies, procedures, best practices and standards in the banking industry, and</w:t>
            </w:r>
          </w:p>
          <w:p w14:paraId="5957CAF6" w14:textId="77777777" w:rsidR="00C60ECA" w:rsidRPr="00C60ECA" w:rsidRDefault="00C60ECA" w:rsidP="00C60ECA">
            <w:pPr>
              <w:pStyle w:val="ListParagraph"/>
              <w:numPr>
                <w:ilvl w:val="0"/>
                <w:numId w:val="23"/>
              </w:numPr>
              <w:spacing w:before="120" w:after="120" w:line="240" w:lineRule="auto"/>
              <w:ind w:left="433"/>
              <w:rPr>
                <w:rFonts w:ascii="Arial" w:hAnsi="Arial" w:cs="Arial"/>
                <w:sz w:val="22"/>
                <w:szCs w:val="22"/>
              </w:rPr>
            </w:pPr>
            <w:r w:rsidRPr="00C60ECA">
              <w:rPr>
                <w:rFonts w:ascii="Arial" w:hAnsi="Arial" w:cs="Arial"/>
                <w:sz w:val="22"/>
                <w:szCs w:val="22"/>
              </w:rPr>
              <w:t xml:space="preserve">NYS Security Policies, as follows:   </w:t>
            </w:r>
          </w:p>
          <w:p w14:paraId="181221D3" w14:textId="77777777" w:rsidR="00C60ECA" w:rsidRPr="00C60ECA" w:rsidRDefault="00C60ECA" w:rsidP="00C60ECA">
            <w:pPr>
              <w:pStyle w:val="ListParagraph"/>
              <w:numPr>
                <w:ilvl w:val="0"/>
                <w:numId w:val="23"/>
              </w:numPr>
              <w:spacing w:before="120" w:after="120" w:line="240" w:lineRule="auto"/>
              <w:ind w:left="433"/>
              <w:rPr>
                <w:rFonts w:ascii="Arial" w:hAnsi="Arial" w:cs="Arial"/>
                <w:sz w:val="22"/>
                <w:szCs w:val="22"/>
              </w:rPr>
            </w:pPr>
            <w:r w:rsidRPr="00C60ECA">
              <w:rPr>
                <w:rFonts w:ascii="Arial" w:hAnsi="Arial" w:cs="Arial"/>
                <w:sz w:val="22"/>
                <w:szCs w:val="22"/>
              </w:rPr>
              <w:t xml:space="preserve">802.11 Wireless Network Security No. NYS-S15-003 - </w:t>
            </w:r>
            <w:hyperlink r:id="rId13" w:history="1">
              <w:r w:rsidRPr="004C5D77">
                <w:rPr>
                  <w:rStyle w:val="Hyperlink"/>
                  <w:rFonts w:ascii="Arial" w:hAnsi="Arial" w:cs="Arial"/>
                  <w:color w:val="0000FF"/>
                  <w:sz w:val="22"/>
                  <w:szCs w:val="22"/>
                </w:rPr>
                <w:t>https://its.ny.gov/80211-wireless-network-security</w:t>
              </w:r>
            </w:hyperlink>
            <w:r w:rsidRPr="00C60ECA">
              <w:rPr>
                <w:rFonts w:ascii="Arial" w:hAnsi="Arial" w:cs="Arial"/>
                <w:sz w:val="22"/>
                <w:szCs w:val="22"/>
              </w:rPr>
              <w:t xml:space="preserve"> </w:t>
            </w:r>
          </w:p>
          <w:p w14:paraId="0AA8690F" w14:textId="77777777" w:rsidR="00C60ECA" w:rsidRPr="00C60ECA" w:rsidRDefault="00C60ECA" w:rsidP="00C60ECA">
            <w:pPr>
              <w:pStyle w:val="ListParagraph"/>
              <w:numPr>
                <w:ilvl w:val="0"/>
                <w:numId w:val="23"/>
              </w:numPr>
              <w:spacing w:before="120" w:after="120" w:line="240" w:lineRule="auto"/>
              <w:ind w:left="433"/>
              <w:rPr>
                <w:rFonts w:ascii="Arial" w:hAnsi="Arial" w:cs="Arial"/>
                <w:sz w:val="22"/>
                <w:szCs w:val="22"/>
              </w:rPr>
            </w:pPr>
            <w:r w:rsidRPr="00C60ECA">
              <w:rPr>
                <w:rFonts w:ascii="Arial" w:hAnsi="Arial" w:cs="Arial"/>
                <w:sz w:val="22"/>
                <w:szCs w:val="22"/>
              </w:rPr>
              <w:t xml:space="preserve">Information Security Risk Management No. NYS-S14-001 - </w:t>
            </w:r>
            <w:hyperlink r:id="rId14" w:history="1">
              <w:r w:rsidRPr="004C5D77">
                <w:rPr>
                  <w:rStyle w:val="Hyperlink"/>
                  <w:rFonts w:ascii="Arial" w:hAnsi="Arial" w:cs="Arial"/>
                  <w:color w:val="0000FF"/>
                  <w:sz w:val="22"/>
                  <w:szCs w:val="22"/>
                </w:rPr>
                <w:t>https://its.ny.gov/information-security-risk-management-standard</w:t>
              </w:r>
            </w:hyperlink>
            <w:r w:rsidRPr="00C60ECA">
              <w:rPr>
                <w:rFonts w:ascii="Arial" w:hAnsi="Arial" w:cs="Arial"/>
                <w:sz w:val="22"/>
                <w:szCs w:val="22"/>
              </w:rPr>
              <w:t> </w:t>
            </w:r>
          </w:p>
          <w:p w14:paraId="79D309E9" w14:textId="77777777" w:rsidR="00C60ECA" w:rsidRPr="004C5D77" w:rsidRDefault="00C60ECA" w:rsidP="00C60ECA">
            <w:pPr>
              <w:pStyle w:val="ListParagraph"/>
              <w:numPr>
                <w:ilvl w:val="0"/>
                <w:numId w:val="23"/>
              </w:numPr>
              <w:spacing w:before="120" w:after="120" w:line="240" w:lineRule="auto"/>
              <w:ind w:left="433"/>
              <w:rPr>
                <w:rStyle w:val="Hyperlink"/>
                <w:color w:val="0000FF"/>
              </w:rPr>
            </w:pPr>
            <w:r w:rsidRPr="00C60ECA">
              <w:rPr>
                <w:rFonts w:ascii="Arial" w:hAnsi="Arial" w:cs="Arial"/>
                <w:sz w:val="22"/>
                <w:szCs w:val="22"/>
              </w:rPr>
              <w:t xml:space="preserve">Security Logging No. NYS-S14-005 - </w:t>
            </w:r>
            <w:hyperlink r:id="rId15" w:history="1">
              <w:r w:rsidRPr="004C5D77">
                <w:rPr>
                  <w:rStyle w:val="Hyperlink"/>
                  <w:rFonts w:ascii="Arial" w:hAnsi="Arial" w:cs="Arial"/>
                  <w:color w:val="0000FF"/>
                  <w:sz w:val="22"/>
                  <w:szCs w:val="22"/>
                </w:rPr>
                <w:t>https://its.ny.gov/security-logging-standard</w:t>
              </w:r>
            </w:hyperlink>
          </w:p>
          <w:p w14:paraId="303028F4" w14:textId="77777777" w:rsidR="00C60ECA" w:rsidRPr="00C60ECA" w:rsidRDefault="00C60ECA" w:rsidP="00C60ECA">
            <w:pPr>
              <w:pStyle w:val="ListParagraph"/>
              <w:numPr>
                <w:ilvl w:val="0"/>
                <w:numId w:val="23"/>
              </w:numPr>
              <w:spacing w:before="120" w:after="120" w:line="240" w:lineRule="auto"/>
              <w:ind w:left="433"/>
              <w:rPr>
                <w:rFonts w:ascii="Arial" w:hAnsi="Arial" w:cs="Arial"/>
                <w:sz w:val="22"/>
                <w:szCs w:val="22"/>
              </w:rPr>
            </w:pPr>
            <w:r w:rsidRPr="00C60ECA">
              <w:rPr>
                <w:rFonts w:ascii="Arial" w:hAnsi="Arial" w:cs="Arial"/>
                <w:sz w:val="22"/>
                <w:szCs w:val="22"/>
              </w:rPr>
              <w:t>Sanitation Secure Disposal No. NYS-13 -003 -</w:t>
            </w:r>
            <w:hyperlink r:id="rId16" w:history="1">
              <w:r w:rsidRPr="004C5D77">
                <w:rPr>
                  <w:rStyle w:val="Hyperlink"/>
                  <w:rFonts w:ascii="Arial" w:hAnsi="Arial" w:cs="Arial"/>
                  <w:color w:val="0000FF"/>
                  <w:sz w:val="22"/>
                  <w:szCs w:val="22"/>
                </w:rPr>
                <w:t>https://its.ny.gov/sanitization-secure-disposal-standard</w:t>
              </w:r>
            </w:hyperlink>
          </w:p>
          <w:p w14:paraId="429FF57A" w14:textId="77777777" w:rsidR="00C60ECA" w:rsidRPr="004C5D77" w:rsidRDefault="00C60ECA" w:rsidP="00C60ECA">
            <w:pPr>
              <w:pStyle w:val="ListParagraph"/>
              <w:numPr>
                <w:ilvl w:val="0"/>
                <w:numId w:val="23"/>
              </w:numPr>
              <w:spacing w:before="120" w:after="120" w:line="240" w:lineRule="auto"/>
              <w:ind w:left="433"/>
              <w:rPr>
                <w:rStyle w:val="Hyperlink"/>
                <w:color w:val="0000FF"/>
              </w:rPr>
            </w:pPr>
            <w:r w:rsidRPr="00C60ECA">
              <w:rPr>
                <w:rFonts w:ascii="Arial" w:hAnsi="Arial" w:cs="Arial"/>
                <w:sz w:val="22"/>
                <w:szCs w:val="22"/>
              </w:rPr>
              <w:t xml:space="preserve">Secure Configuration No. NYS-S14-008 - </w:t>
            </w:r>
            <w:hyperlink r:id="rId17" w:history="1">
              <w:r w:rsidRPr="004C5D77">
                <w:rPr>
                  <w:rStyle w:val="Hyperlink"/>
                  <w:rFonts w:ascii="Arial" w:hAnsi="Arial" w:cs="Arial"/>
                  <w:color w:val="0000FF"/>
                  <w:sz w:val="22"/>
                  <w:szCs w:val="22"/>
                </w:rPr>
                <w:t>https://its.ny.gov/secure-configuration-standard</w:t>
              </w:r>
            </w:hyperlink>
          </w:p>
          <w:p w14:paraId="0D992530" w14:textId="77777777" w:rsidR="00C60ECA" w:rsidRPr="004C5D77" w:rsidRDefault="00C60ECA" w:rsidP="00C60ECA">
            <w:pPr>
              <w:pStyle w:val="ListParagraph"/>
              <w:numPr>
                <w:ilvl w:val="0"/>
                <w:numId w:val="23"/>
              </w:numPr>
              <w:spacing w:before="120" w:after="120" w:line="240" w:lineRule="auto"/>
              <w:ind w:left="433"/>
              <w:rPr>
                <w:rStyle w:val="Hyperlink"/>
                <w:color w:val="0000FF"/>
              </w:rPr>
            </w:pPr>
            <w:r w:rsidRPr="00C60ECA">
              <w:rPr>
                <w:rFonts w:ascii="Arial" w:hAnsi="Arial" w:cs="Arial"/>
                <w:sz w:val="22"/>
                <w:szCs w:val="22"/>
              </w:rPr>
              <w:t xml:space="preserve">Vulnerability Management No. NYS-S15-002 - </w:t>
            </w:r>
            <w:hyperlink r:id="rId18" w:history="1">
              <w:r w:rsidRPr="004C5D77">
                <w:rPr>
                  <w:rStyle w:val="Hyperlink"/>
                  <w:rFonts w:ascii="Arial" w:hAnsi="Arial" w:cs="Arial"/>
                  <w:color w:val="0000FF"/>
                  <w:sz w:val="22"/>
                  <w:szCs w:val="22"/>
                </w:rPr>
                <w:t>https://its.ny.gov/vulnerability-management</w:t>
              </w:r>
            </w:hyperlink>
          </w:p>
          <w:p w14:paraId="4C131706" w14:textId="56CB3717" w:rsidR="00C60ECA" w:rsidRPr="004C5D77" w:rsidRDefault="00C60ECA" w:rsidP="004C5D77">
            <w:pPr>
              <w:pStyle w:val="ListParagraph"/>
              <w:numPr>
                <w:ilvl w:val="0"/>
                <w:numId w:val="23"/>
              </w:numPr>
              <w:spacing w:before="120" w:after="120" w:line="240" w:lineRule="auto"/>
              <w:ind w:left="433"/>
              <w:rPr>
                <w:color w:val="0000FF"/>
                <w:u w:val="single"/>
              </w:rPr>
            </w:pPr>
            <w:r w:rsidRPr="00C60ECA">
              <w:rPr>
                <w:rFonts w:ascii="Arial" w:hAnsi="Arial" w:cs="Arial"/>
                <w:sz w:val="22"/>
                <w:szCs w:val="22"/>
              </w:rPr>
              <w:t xml:space="preserve">Patch Management No. NYS-S15-001 - </w:t>
            </w:r>
            <w:hyperlink r:id="rId19" w:history="1">
              <w:r w:rsidRPr="004C5D77">
                <w:rPr>
                  <w:rStyle w:val="Hyperlink"/>
                  <w:rFonts w:ascii="Arial" w:hAnsi="Arial" w:cs="Arial"/>
                  <w:color w:val="0000FF"/>
                  <w:sz w:val="22"/>
                  <w:szCs w:val="22"/>
                </w:rPr>
                <w:t>https://its.ny.gov/patch-management</w:t>
              </w:r>
            </w:hyperlink>
          </w:p>
        </w:tc>
        <w:tc>
          <w:tcPr>
            <w:tcW w:w="4590" w:type="dxa"/>
            <w:gridSpan w:val="2"/>
            <w:tcBorders>
              <w:top w:val="single" w:sz="18" w:space="0" w:color="auto"/>
              <w:bottom w:val="dotted" w:sz="4" w:space="0" w:color="auto"/>
              <w:right w:val="single" w:sz="18" w:space="0" w:color="auto"/>
            </w:tcBorders>
          </w:tcPr>
          <w:p w14:paraId="13670FC8" w14:textId="77777777" w:rsidR="00C60ECA" w:rsidRPr="00C60ECA" w:rsidRDefault="00C60ECA" w:rsidP="004C5D77">
            <w:pPr>
              <w:widowControl w:val="0"/>
              <w:spacing w:before="60" w:after="60"/>
              <w:ind w:left="72" w:right="72" w:hanging="1"/>
              <w:jc w:val="both"/>
              <w:rPr>
                <w:rFonts w:ascii="Arial" w:hAnsi="Arial" w:cs="Arial"/>
                <w:sz w:val="22"/>
                <w:szCs w:val="22"/>
              </w:rPr>
            </w:pPr>
            <w:r w:rsidRPr="00C60ECA">
              <w:rPr>
                <w:rFonts w:ascii="Arial" w:hAnsi="Arial" w:cs="Arial"/>
                <w:color w:val="231F20"/>
                <w:sz w:val="22"/>
                <w:szCs w:val="22"/>
              </w:rPr>
              <w:t>The Bidder must affirm understanding of, and agreement to comply with, this Requirement.</w:t>
            </w:r>
          </w:p>
        </w:tc>
      </w:tr>
      <w:tr w:rsidR="00C60ECA" w:rsidRPr="00732B10" w14:paraId="419574D8" w14:textId="77777777" w:rsidTr="001C31A4">
        <w:tc>
          <w:tcPr>
            <w:tcW w:w="720" w:type="dxa"/>
            <w:vMerge/>
            <w:tcBorders>
              <w:left w:val="single" w:sz="18" w:space="0" w:color="auto"/>
            </w:tcBorders>
            <w:shd w:val="clear" w:color="auto" w:fill="F2F2F2" w:themeFill="background1" w:themeFillShade="F2"/>
          </w:tcPr>
          <w:p w14:paraId="55346933" w14:textId="77777777" w:rsidR="00C60ECA" w:rsidRPr="00732B10" w:rsidRDefault="00C60ECA" w:rsidP="007E1BF0">
            <w:pPr>
              <w:tabs>
                <w:tab w:val="left" w:pos="613"/>
              </w:tabs>
              <w:spacing w:before="60" w:after="120"/>
              <w:ind w:left="72" w:right="72"/>
              <w:rPr>
                <w:rFonts w:ascii="Arial" w:hAnsi="Arial" w:cs="Arial"/>
                <w:b/>
              </w:rPr>
            </w:pPr>
          </w:p>
        </w:tc>
        <w:tc>
          <w:tcPr>
            <w:tcW w:w="4500" w:type="dxa"/>
            <w:vMerge/>
          </w:tcPr>
          <w:p w14:paraId="56B4AC5B" w14:textId="77777777" w:rsidR="00C60ECA" w:rsidRPr="00C60ECA" w:rsidRDefault="00C60ECA" w:rsidP="007E1BF0">
            <w:pPr>
              <w:widowControl w:val="0"/>
              <w:spacing w:before="60" w:after="120"/>
              <w:ind w:left="72" w:right="72" w:hanging="1"/>
              <w:jc w:val="both"/>
              <w:rPr>
                <w:rFonts w:ascii="Arial" w:hAnsi="Arial" w:cs="Arial"/>
                <w:color w:val="231F20"/>
                <w:sz w:val="22"/>
                <w:szCs w:val="22"/>
              </w:rPr>
            </w:pPr>
          </w:p>
        </w:tc>
        <w:tc>
          <w:tcPr>
            <w:tcW w:w="990" w:type="dxa"/>
            <w:tcBorders>
              <w:top w:val="dotted" w:sz="4" w:space="0" w:color="auto"/>
              <w:bottom w:val="dotted" w:sz="4" w:space="0" w:color="auto"/>
              <w:right w:val="single" w:sz="4" w:space="0" w:color="FFF2CC" w:themeColor="accent4" w:themeTint="33"/>
            </w:tcBorders>
            <w:shd w:val="clear" w:color="auto" w:fill="FFF9E7"/>
          </w:tcPr>
          <w:p w14:paraId="6C450F4C" w14:textId="77777777" w:rsidR="00C60ECA" w:rsidRPr="00C60ECA" w:rsidRDefault="007A1D78" w:rsidP="007E1BF0">
            <w:pPr>
              <w:widowControl w:val="0"/>
              <w:spacing w:before="60" w:after="60"/>
              <w:ind w:left="72" w:right="72" w:hanging="1"/>
              <w:jc w:val="both"/>
              <w:rPr>
                <w:rFonts w:ascii="Arial" w:hAnsi="Arial" w:cs="Arial"/>
                <w:color w:val="231F20"/>
                <w:sz w:val="22"/>
                <w:szCs w:val="22"/>
              </w:rPr>
            </w:pPr>
            <w:sdt>
              <w:sdtPr>
                <w:id w:val="-1245265366"/>
                <w14:checkbox>
                  <w14:checked w14:val="0"/>
                  <w14:checkedState w14:val="2612" w14:font="MS Gothic"/>
                  <w14:uncheckedState w14:val="2610" w14:font="MS Gothic"/>
                </w14:checkbox>
              </w:sdtPr>
              <w:sdtEndPr/>
              <w:sdtContent>
                <w:r w:rsidR="00C60ECA" w:rsidRPr="00C60ECA">
                  <w:rPr>
                    <w:rFonts w:ascii="Segoe UI Symbol" w:hAnsi="Segoe UI Symbol" w:cs="Segoe UI Symbol"/>
                    <w:sz w:val="22"/>
                    <w:szCs w:val="22"/>
                  </w:rPr>
                  <w:t>☐</w:t>
                </w:r>
              </w:sdtContent>
            </w:sdt>
          </w:p>
        </w:tc>
        <w:tc>
          <w:tcPr>
            <w:tcW w:w="3600" w:type="dxa"/>
            <w:tcBorders>
              <w:top w:val="dotted" w:sz="4" w:space="0" w:color="auto"/>
              <w:left w:val="single" w:sz="4" w:space="0" w:color="FFF2CC" w:themeColor="accent4" w:themeTint="33"/>
              <w:bottom w:val="dotted" w:sz="4" w:space="0" w:color="auto"/>
              <w:right w:val="single" w:sz="18" w:space="0" w:color="auto"/>
            </w:tcBorders>
            <w:shd w:val="clear" w:color="auto" w:fill="FFF9E7"/>
          </w:tcPr>
          <w:p w14:paraId="3068DA8F" w14:textId="77777777" w:rsidR="00C60ECA" w:rsidRPr="00C60ECA" w:rsidRDefault="00C60ECA" w:rsidP="007E1BF0">
            <w:pPr>
              <w:widowControl w:val="0"/>
              <w:spacing w:before="60" w:after="60"/>
              <w:ind w:left="72" w:right="72" w:hanging="1"/>
              <w:jc w:val="both"/>
              <w:rPr>
                <w:rFonts w:ascii="Arial" w:hAnsi="Arial" w:cs="Arial"/>
                <w:color w:val="231F20"/>
                <w:sz w:val="22"/>
                <w:szCs w:val="22"/>
              </w:rPr>
            </w:pPr>
            <w:r w:rsidRPr="00C60ECA">
              <w:rPr>
                <w:rFonts w:ascii="Arial" w:hAnsi="Arial" w:cs="Arial"/>
                <w:sz w:val="22"/>
                <w:szCs w:val="22"/>
              </w:rPr>
              <w:t>Yes, the Bidder affirms its understanding of, and agreement to comply with, this Requirement.</w:t>
            </w:r>
          </w:p>
        </w:tc>
      </w:tr>
      <w:tr w:rsidR="00C60ECA" w:rsidRPr="00732B10" w14:paraId="3DA52395" w14:textId="77777777" w:rsidTr="001C31A4">
        <w:trPr>
          <w:trHeight w:val="575"/>
        </w:trPr>
        <w:tc>
          <w:tcPr>
            <w:tcW w:w="720" w:type="dxa"/>
            <w:vMerge/>
            <w:tcBorders>
              <w:left w:val="single" w:sz="18" w:space="0" w:color="auto"/>
            </w:tcBorders>
            <w:shd w:val="clear" w:color="auto" w:fill="F2F2F2" w:themeFill="background1" w:themeFillShade="F2"/>
          </w:tcPr>
          <w:p w14:paraId="1DB05498" w14:textId="77777777" w:rsidR="00C60ECA" w:rsidRPr="00732B10" w:rsidRDefault="00C60ECA" w:rsidP="007E1BF0">
            <w:pPr>
              <w:tabs>
                <w:tab w:val="left" w:pos="613"/>
              </w:tabs>
              <w:spacing w:before="60" w:after="120"/>
              <w:ind w:left="72" w:right="72"/>
              <w:rPr>
                <w:rFonts w:ascii="Arial" w:hAnsi="Arial" w:cs="Arial"/>
                <w:b/>
              </w:rPr>
            </w:pPr>
          </w:p>
        </w:tc>
        <w:tc>
          <w:tcPr>
            <w:tcW w:w="4500" w:type="dxa"/>
            <w:vMerge/>
          </w:tcPr>
          <w:p w14:paraId="10AA01B2" w14:textId="77777777" w:rsidR="00C60ECA" w:rsidRPr="00C60ECA" w:rsidRDefault="00C60ECA" w:rsidP="007E1BF0">
            <w:pPr>
              <w:widowControl w:val="0"/>
              <w:spacing w:before="60" w:after="120"/>
              <w:ind w:left="72" w:right="72" w:hanging="1"/>
              <w:jc w:val="both"/>
              <w:rPr>
                <w:rFonts w:ascii="Arial" w:hAnsi="Arial" w:cs="Arial"/>
                <w:color w:val="231F20"/>
                <w:sz w:val="22"/>
                <w:szCs w:val="22"/>
              </w:rPr>
            </w:pPr>
          </w:p>
        </w:tc>
        <w:tc>
          <w:tcPr>
            <w:tcW w:w="4590" w:type="dxa"/>
            <w:gridSpan w:val="2"/>
            <w:tcBorders>
              <w:top w:val="dotted" w:sz="4" w:space="0" w:color="auto"/>
              <w:bottom w:val="dotted" w:sz="4" w:space="0" w:color="auto"/>
              <w:right w:val="single" w:sz="18" w:space="0" w:color="auto"/>
            </w:tcBorders>
          </w:tcPr>
          <w:p w14:paraId="650FBF29" w14:textId="77777777" w:rsidR="00C60ECA" w:rsidRPr="00C60ECA" w:rsidRDefault="00C60ECA" w:rsidP="002023A6">
            <w:pPr>
              <w:spacing w:before="60" w:after="60"/>
              <w:ind w:left="72"/>
              <w:jc w:val="both"/>
              <w:rPr>
                <w:rFonts w:ascii="Arial" w:hAnsi="Arial" w:cs="Arial"/>
                <w:sz w:val="22"/>
                <w:szCs w:val="22"/>
              </w:rPr>
            </w:pPr>
            <w:r w:rsidRPr="00C60ECA">
              <w:rPr>
                <w:rFonts w:ascii="Arial" w:hAnsi="Arial" w:cs="Arial"/>
                <w:sz w:val="22"/>
                <w:szCs w:val="22"/>
              </w:rPr>
              <w:t>The Bidder should:</w:t>
            </w:r>
          </w:p>
          <w:p w14:paraId="28257C43" w14:textId="77777777" w:rsidR="00C60ECA" w:rsidRPr="00C60ECA" w:rsidRDefault="00C60ECA" w:rsidP="002023A6">
            <w:pPr>
              <w:numPr>
                <w:ilvl w:val="0"/>
                <w:numId w:val="25"/>
              </w:numPr>
              <w:spacing w:before="60" w:after="60"/>
              <w:ind w:left="432" w:right="72"/>
              <w:jc w:val="both"/>
              <w:rPr>
                <w:rFonts w:ascii="Arial" w:hAnsi="Arial" w:cs="Arial"/>
                <w:sz w:val="22"/>
                <w:szCs w:val="22"/>
              </w:rPr>
            </w:pPr>
            <w:r w:rsidRPr="00C60ECA">
              <w:rPr>
                <w:rFonts w:ascii="Arial" w:hAnsi="Arial" w:cs="Arial"/>
                <w:sz w:val="22"/>
                <w:szCs w:val="22"/>
              </w:rPr>
              <w:t>Describe how this Requirement will be met.</w:t>
            </w:r>
          </w:p>
          <w:p w14:paraId="411CCD30" w14:textId="77777777" w:rsidR="00C60ECA" w:rsidRPr="00C60ECA" w:rsidRDefault="00C60ECA" w:rsidP="002023A6">
            <w:pPr>
              <w:numPr>
                <w:ilvl w:val="0"/>
                <w:numId w:val="25"/>
              </w:numPr>
              <w:spacing w:before="60" w:after="60"/>
              <w:ind w:left="432" w:right="72"/>
              <w:jc w:val="both"/>
              <w:rPr>
                <w:rFonts w:ascii="Arial" w:hAnsi="Arial" w:cs="Arial"/>
                <w:sz w:val="22"/>
                <w:szCs w:val="22"/>
              </w:rPr>
            </w:pPr>
            <w:r w:rsidRPr="00C60ECA">
              <w:rPr>
                <w:rFonts w:ascii="Arial" w:hAnsi="Arial" w:cs="Arial"/>
                <w:sz w:val="22"/>
                <w:szCs w:val="22"/>
              </w:rPr>
              <w:t>Describe its current security programs, policies, and procedures which will be evaluated and scored to the extent they demonstrate:</w:t>
            </w:r>
          </w:p>
          <w:p w14:paraId="08F882C8" w14:textId="77777777" w:rsidR="00C60ECA" w:rsidRPr="00C60ECA" w:rsidRDefault="00C60ECA" w:rsidP="004C5D77">
            <w:pPr>
              <w:numPr>
                <w:ilvl w:val="0"/>
                <w:numId w:val="26"/>
              </w:numPr>
              <w:spacing w:before="120" w:after="60"/>
              <w:ind w:right="72"/>
              <w:rPr>
                <w:rFonts w:ascii="Arial" w:hAnsi="Arial" w:cs="Arial"/>
                <w:sz w:val="22"/>
                <w:szCs w:val="22"/>
              </w:rPr>
            </w:pPr>
            <w:r w:rsidRPr="00C60ECA">
              <w:rPr>
                <w:rFonts w:ascii="Arial" w:hAnsi="Arial" w:cs="Arial"/>
                <w:sz w:val="22"/>
                <w:szCs w:val="22"/>
              </w:rPr>
              <w:t>Programs, policies &amp; procedures used to provide discretionary access control to systems and data. This information should address both physical security and electronic data security.</w:t>
            </w:r>
          </w:p>
          <w:p w14:paraId="40BDEC0D" w14:textId="77777777" w:rsidR="00C60ECA" w:rsidRPr="00C60ECA" w:rsidRDefault="00C60ECA" w:rsidP="004C5D77">
            <w:pPr>
              <w:numPr>
                <w:ilvl w:val="0"/>
                <w:numId w:val="26"/>
              </w:numPr>
              <w:spacing w:before="120" w:after="60"/>
              <w:ind w:right="72"/>
              <w:rPr>
                <w:rFonts w:ascii="Arial" w:hAnsi="Arial" w:cs="Arial"/>
                <w:sz w:val="22"/>
                <w:szCs w:val="22"/>
              </w:rPr>
            </w:pPr>
            <w:r w:rsidRPr="00C60ECA">
              <w:rPr>
                <w:rFonts w:ascii="Arial" w:hAnsi="Arial" w:cs="Arial"/>
                <w:sz w:val="22"/>
                <w:szCs w:val="22"/>
              </w:rPr>
              <w:t>Defined roles and responsibilities of all of those using the Contractor's information systems.</w:t>
            </w:r>
          </w:p>
          <w:p w14:paraId="51158DCE" w14:textId="77777777" w:rsidR="00C60ECA" w:rsidRPr="00C60ECA" w:rsidRDefault="00C60ECA" w:rsidP="004C5D77">
            <w:pPr>
              <w:numPr>
                <w:ilvl w:val="0"/>
                <w:numId w:val="26"/>
              </w:numPr>
              <w:spacing w:before="120" w:after="60"/>
              <w:ind w:right="72"/>
              <w:rPr>
                <w:rFonts w:ascii="Arial" w:hAnsi="Arial" w:cs="Arial"/>
                <w:sz w:val="22"/>
                <w:szCs w:val="22"/>
              </w:rPr>
            </w:pPr>
            <w:r w:rsidRPr="00C60ECA">
              <w:rPr>
                <w:rFonts w:ascii="Arial" w:hAnsi="Arial" w:cs="Arial"/>
                <w:sz w:val="22"/>
                <w:szCs w:val="22"/>
              </w:rPr>
              <w:t>Separate computing environments for test, quality assurance, and production systems.</w:t>
            </w:r>
          </w:p>
          <w:p w14:paraId="42EE04EF" w14:textId="77777777" w:rsidR="00C60ECA" w:rsidRPr="00C60ECA" w:rsidRDefault="00C60ECA" w:rsidP="004C5D77">
            <w:pPr>
              <w:numPr>
                <w:ilvl w:val="0"/>
                <w:numId w:val="26"/>
              </w:numPr>
              <w:spacing w:before="120" w:after="60"/>
              <w:ind w:right="72"/>
              <w:rPr>
                <w:rFonts w:ascii="Arial" w:hAnsi="Arial" w:cs="Arial"/>
                <w:sz w:val="22"/>
                <w:szCs w:val="22"/>
              </w:rPr>
            </w:pPr>
            <w:r w:rsidRPr="00C60ECA">
              <w:rPr>
                <w:rFonts w:ascii="Arial" w:hAnsi="Arial" w:cs="Arial"/>
                <w:sz w:val="22"/>
                <w:szCs w:val="22"/>
              </w:rPr>
              <w:t>Policies, procedures and controls for backup and recovery of data.</w:t>
            </w:r>
          </w:p>
          <w:p w14:paraId="40400A48" w14:textId="77777777" w:rsidR="00C60ECA" w:rsidRPr="00C60ECA" w:rsidRDefault="00C60ECA" w:rsidP="004C5D77">
            <w:pPr>
              <w:numPr>
                <w:ilvl w:val="0"/>
                <w:numId w:val="26"/>
              </w:numPr>
              <w:spacing w:before="120" w:after="60"/>
              <w:ind w:right="72"/>
              <w:rPr>
                <w:rFonts w:ascii="Arial" w:hAnsi="Arial" w:cs="Arial"/>
                <w:sz w:val="22"/>
                <w:szCs w:val="22"/>
              </w:rPr>
            </w:pPr>
            <w:r w:rsidRPr="00C60ECA">
              <w:rPr>
                <w:rFonts w:ascii="Arial" w:hAnsi="Arial" w:cs="Arial"/>
                <w:sz w:val="22"/>
                <w:szCs w:val="22"/>
              </w:rPr>
              <w:t>Off-site storage and disaster recovery operations.</w:t>
            </w:r>
          </w:p>
          <w:p w14:paraId="2E924D1D" w14:textId="7C7CBE76" w:rsidR="00C60ECA" w:rsidRPr="004C5D77" w:rsidRDefault="00C60ECA" w:rsidP="004C5D77">
            <w:pPr>
              <w:numPr>
                <w:ilvl w:val="0"/>
                <w:numId w:val="26"/>
              </w:numPr>
              <w:spacing w:before="120" w:after="60"/>
              <w:ind w:right="72"/>
              <w:rPr>
                <w:rFonts w:ascii="Arial" w:hAnsi="Arial" w:cs="Arial"/>
                <w:sz w:val="22"/>
                <w:szCs w:val="22"/>
              </w:rPr>
            </w:pPr>
            <w:r w:rsidRPr="00C60ECA">
              <w:rPr>
                <w:rFonts w:ascii="Arial" w:hAnsi="Arial" w:cs="Arial"/>
                <w:sz w:val="22"/>
                <w:szCs w:val="22"/>
              </w:rPr>
              <w:t>A process and procedure which  provides for controlled destruction of system output or other records containing Department Data.</w:t>
            </w:r>
          </w:p>
        </w:tc>
      </w:tr>
      <w:bookmarkEnd w:id="7"/>
    </w:tbl>
    <w:p w14:paraId="442E61EC" w14:textId="77777777" w:rsidR="00726E1E" w:rsidRDefault="00726E1E">
      <w:pPr>
        <w:sectPr w:rsidR="00726E1E" w:rsidSect="002023A6">
          <w:footerReference w:type="default" r:id="rId20"/>
          <w:pgSz w:w="12240" w:h="15840" w:code="1"/>
          <w:pgMar w:top="1440" w:right="1440" w:bottom="864" w:left="1440" w:header="432" w:footer="432" w:gutter="0"/>
          <w:pgNumType w:start="21"/>
          <w:cols w:space="720"/>
          <w:docGrid w:linePitch="360"/>
        </w:sectPr>
      </w:pPr>
    </w:p>
    <w:tbl>
      <w:tblPr>
        <w:tblStyle w:val="TableGrid42"/>
        <w:tblW w:w="9270" w:type="dxa"/>
        <w:tblInd w:w="1327" w:type="dxa"/>
        <w:tblLayout w:type="fixed"/>
        <w:tblLook w:val="04A0" w:firstRow="1" w:lastRow="0" w:firstColumn="1" w:lastColumn="0" w:noHBand="0" w:noVBand="1"/>
      </w:tblPr>
      <w:tblGrid>
        <w:gridCol w:w="810"/>
        <w:gridCol w:w="4140"/>
        <w:gridCol w:w="720"/>
        <w:gridCol w:w="3600"/>
      </w:tblGrid>
      <w:tr w:rsidR="00C54027" w:rsidRPr="00732B10" w14:paraId="56ACC7EF" w14:textId="77777777" w:rsidTr="00104C98">
        <w:trPr>
          <w:tblHeader/>
        </w:trPr>
        <w:tc>
          <w:tcPr>
            <w:tcW w:w="9270" w:type="dxa"/>
            <w:gridSpan w:val="4"/>
            <w:tcBorders>
              <w:top w:val="single" w:sz="18" w:space="0" w:color="auto"/>
              <w:left w:val="single" w:sz="18" w:space="0" w:color="auto"/>
              <w:bottom w:val="single" w:sz="18" w:space="0" w:color="auto"/>
              <w:right w:val="single" w:sz="18" w:space="0" w:color="auto"/>
            </w:tcBorders>
            <w:shd w:val="clear" w:color="auto" w:fill="007681"/>
          </w:tcPr>
          <w:p w14:paraId="2A3F3A50" w14:textId="77777777" w:rsidR="00C54027" w:rsidRPr="00732B10" w:rsidRDefault="00C54027" w:rsidP="00686888">
            <w:pPr>
              <w:tabs>
                <w:tab w:val="left" w:pos="1559"/>
                <w:tab w:val="left" w:pos="1560"/>
              </w:tabs>
              <w:spacing w:before="120" w:after="120"/>
              <w:jc w:val="center"/>
              <w:rPr>
                <w:rFonts w:ascii="Arial" w:hAnsi="Arial" w:cs="Arial"/>
              </w:rPr>
            </w:pPr>
            <w:r w:rsidRPr="00732B10">
              <w:rPr>
                <w:rFonts w:ascii="Arial" w:hAnsi="Arial" w:cs="Arial"/>
                <w:b/>
                <w:color w:val="FFFFFF" w:themeColor="background1"/>
                <w:sz w:val="24"/>
                <w:szCs w:val="28"/>
              </w:rPr>
              <w:lastRenderedPageBreak/>
              <w:t>TABLE 2.2: DEVELOPMENT</w:t>
            </w:r>
            <w:r>
              <w:rPr>
                <w:rFonts w:ascii="Arial" w:hAnsi="Arial" w:cs="Arial"/>
                <w:b/>
                <w:color w:val="FFFFFF" w:themeColor="background1"/>
                <w:sz w:val="24"/>
                <w:szCs w:val="28"/>
              </w:rPr>
              <w:t xml:space="preserve"> </w:t>
            </w:r>
            <w:r w:rsidRPr="00732B10">
              <w:rPr>
                <w:rFonts w:ascii="Arial" w:hAnsi="Arial" w:cs="Arial"/>
                <w:b/>
                <w:color w:val="FFFFFF" w:themeColor="background1"/>
                <w:sz w:val="24"/>
                <w:szCs w:val="28"/>
              </w:rPr>
              <w:t>/</w:t>
            </w:r>
            <w:r>
              <w:rPr>
                <w:rFonts w:ascii="Arial" w:hAnsi="Arial" w:cs="Arial"/>
                <w:b/>
                <w:color w:val="FFFFFF" w:themeColor="background1"/>
                <w:sz w:val="24"/>
                <w:szCs w:val="28"/>
              </w:rPr>
              <w:t xml:space="preserve"> </w:t>
            </w:r>
            <w:r w:rsidRPr="00732B10">
              <w:rPr>
                <w:rFonts w:ascii="Arial" w:hAnsi="Arial" w:cs="Arial"/>
                <w:b/>
                <w:color w:val="FFFFFF" w:themeColor="background1"/>
                <w:sz w:val="24"/>
                <w:szCs w:val="28"/>
              </w:rPr>
              <w:t>SUPPORT SERVICE REQUIREMENTS</w:t>
            </w:r>
          </w:p>
        </w:tc>
      </w:tr>
      <w:tr w:rsidR="00C54027" w:rsidRPr="00732B10" w14:paraId="492139EE" w14:textId="77777777" w:rsidTr="000B706C">
        <w:trPr>
          <w:tblHeader/>
        </w:trPr>
        <w:tc>
          <w:tcPr>
            <w:tcW w:w="810" w:type="dxa"/>
            <w:tcBorders>
              <w:top w:val="single" w:sz="18" w:space="0" w:color="auto"/>
              <w:left w:val="single" w:sz="18" w:space="0" w:color="auto"/>
              <w:bottom w:val="single" w:sz="18" w:space="0" w:color="auto"/>
            </w:tcBorders>
            <w:shd w:val="clear" w:color="auto" w:fill="F2F2F2" w:themeFill="background1" w:themeFillShade="F2"/>
            <w:vAlign w:val="center"/>
          </w:tcPr>
          <w:p w14:paraId="3D7EF07E" w14:textId="77777777" w:rsidR="00C54027" w:rsidRPr="00732B10" w:rsidRDefault="00C54027" w:rsidP="00686888">
            <w:pPr>
              <w:tabs>
                <w:tab w:val="left" w:pos="1140"/>
              </w:tabs>
              <w:spacing w:before="60" w:after="60"/>
              <w:ind w:left="72" w:right="-111"/>
              <w:rPr>
                <w:rFonts w:ascii="Arial" w:hAnsi="Arial" w:cs="Arial"/>
              </w:rPr>
            </w:pPr>
            <w:r w:rsidRPr="00732B10">
              <w:rPr>
                <w:rFonts w:ascii="Arial" w:hAnsi="Arial" w:cs="Arial"/>
                <w:b/>
                <w:w w:val="99"/>
              </w:rPr>
              <w:t>#</w:t>
            </w:r>
          </w:p>
        </w:tc>
        <w:tc>
          <w:tcPr>
            <w:tcW w:w="4140" w:type="dxa"/>
            <w:tcBorders>
              <w:top w:val="single" w:sz="18" w:space="0" w:color="auto"/>
              <w:bottom w:val="single" w:sz="18" w:space="0" w:color="auto"/>
            </w:tcBorders>
            <w:shd w:val="clear" w:color="auto" w:fill="F2F2F2" w:themeFill="background1" w:themeFillShade="F2"/>
            <w:vAlign w:val="center"/>
          </w:tcPr>
          <w:p w14:paraId="49DCF55A" w14:textId="77777777" w:rsidR="00C54027" w:rsidRPr="00732B10" w:rsidRDefault="00C54027" w:rsidP="00686888">
            <w:pPr>
              <w:tabs>
                <w:tab w:val="left" w:pos="1559"/>
                <w:tab w:val="left" w:pos="1560"/>
              </w:tabs>
              <w:spacing w:before="60" w:after="60"/>
              <w:jc w:val="center"/>
              <w:rPr>
                <w:rFonts w:ascii="Arial" w:hAnsi="Arial" w:cs="Arial"/>
              </w:rPr>
            </w:pPr>
            <w:r w:rsidRPr="00732B10">
              <w:rPr>
                <w:rFonts w:ascii="Arial" w:hAnsi="Arial" w:cs="Arial"/>
                <w:b/>
                <w:sz w:val="24"/>
                <w:szCs w:val="28"/>
              </w:rPr>
              <w:t>REQUIREMENT</w:t>
            </w:r>
          </w:p>
        </w:tc>
        <w:tc>
          <w:tcPr>
            <w:tcW w:w="4320" w:type="dxa"/>
            <w:gridSpan w:val="2"/>
            <w:tcBorders>
              <w:top w:val="single" w:sz="18" w:space="0" w:color="auto"/>
              <w:bottom w:val="single" w:sz="18" w:space="0" w:color="auto"/>
              <w:right w:val="single" w:sz="18" w:space="0" w:color="auto"/>
            </w:tcBorders>
            <w:shd w:val="clear" w:color="auto" w:fill="F2F2F2" w:themeFill="background1" w:themeFillShade="F2"/>
            <w:vAlign w:val="center"/>
          </w:tcPr>
          <w:p w14:paraId="3CBD66E5" w14:textId="77777777" w:rsidR="00C54027" w:rsidRPr="00732B10" w:rsidRDefault="00C54027" w:rsidP="00686888">
            <w:pPr>
              <w:tabs>
                <w:tab w:val="left" w:pos="1559"/>
                <w:tab w:val="left" w:pos="1560"/>
              </w:tabs>
              <w:spacing w:before="60" w:after="60"/>
              <w:jc w:val="center"/>
              <w:rPr>
                <w:rFonts w:ascii="Arial" w:hAnsi="Arial" w:cs="Arial"/>
              </w:rPr>
            </w:pPr>
            <w:r w:rsidRPr="00732B10">
              <w:rPr>
                <w:rFonts w:ascii="Arial" w:hAnsi="Arial" w:cs="Arial"/>
                <w:b/>
                <w:sz w:val="24"/>
                <w:szCs w:val="28"/>
              </w:rPr>
              <w:t>RESPONSE</w:t>
            </w:r>
          </w:p>
        </w:tc>
      </w:tr>
      <w:tr w:rsidR="00726E1E" w:rsidRPr="00845126" w14:paraId="59556DE9" w14:textId="77777777" w:rsidTr="000B706C">
        <w:tc>
          <w:tcPr>
            <w:tcW w:w="810" w:type="dxa"/>
            <w:tcBorders>
              <w:top w:val="single" w:sz="18" w:space="0" w:color="auto"/>
              <w:left w:val="single" w:sz="18" w:space="0" w:color="auto"/>
            </w:tcBorders>
            <w:shd w:val="clear" w:color="auto" w:fill="F2F2F2" w:themeFill="background1" w:themeFillShade="F2"/>
          </w:tcPr>
          <w:p w14:paraId="1C770B1C" w14:textId="77777777" w:rsidR="00726E1E" w:rsidRPr="00104C98" w:rsidRDefault="00726E1E" w:rsidP="00686888">
            <w:pPr>
              <w:tabs>
                <w:tab w:val="left" w:pos="613"/>
              </w:tabs>
              <w:spacing w:before="120" w:after="120"/>
              <w:ind w:left="72" w:right="72"/>
              <w:rPr>
                <w:rFonts w:ascii="Arial" w:hAnsi="Arial" w:cs="Arial"/>
                <w:b/>
                <w:sz w:val="22"/>
                <w:szCs w:val="22"/>
              </w:rPr>
            </w:pPr>
          </w:p>
        </w:tc>
        <w:tc>
          <w:tcPr>
            <w:tcW w:w="4140" w:type="dxa"/>
            <w:tcBorders>
              <w:top w:val="single" w:sz="18" w:space="0" w:color="auto"/>
            </w:tcBorders>
          </w:tcPr>
          <w:p w14:paraId="1DF20252" w14:textId="1EF703FA" w:rsidR="00726E1E" w:rsidRPr="00732B10" w:rsidRDefault="00726E1E" w:rsidP="00104C98">
            <w:pPr>
              <w:tabs>
                <w:tab w:val="num" w:pos="880"/>
                <w:tab w:val="left" w:pos="1559"/>
                <w:tab w:val="left" w:pos="1560"/>
              </w:tabs>
              <w:spacing w:after="120"/>
              <w:ind w:left="72" w:right="72"/>
              <w:jc w:val="both"/>
            </w:pPr>
            <w:r w:rsidRPr="00726E1E">
              <w:rPr>
                <w:rFonts w:ascii="Arial" w:hAnsi="Arial" w:cs="Arial"/>
                <w:color w:val="231F20"/>
                <w:sz w:val="22"/>
                <w:szCs w:val="22"/>
              </w:rPr>
              <w:t>with a notarized document.  Said document must be executed under penalty of perjury by an official authorized to bind the Contractor, affirming the Contractor has complied with the terms and conditions for record destruction and sanitation requirements during the transition period that are prescribed by the Department.</w:t>
            </w:r>
          </w:p>
        </w:tc>
        <w:tc>
          <w:tcPr>
            <w:tcW w:w="4320" w:type="dxa"/>
            <w:gridSpan w:val="2"/>
            <w:tcBorders>
              <w:top w:val="single" w:sz="18" w:space="0" w:color="auto"/>
              <w:bottom w:val="dotted" w:sz="4" w:space="0" w:color="auto"/>
              <w:right w:val="single" w:sz="18" w:space="0" w:color="auto"/>
            </w:tcBorders>
          </w:tcPr>
          <w:p w14:paraId="684FD2C3" w14:textId="77777777" w:rsidR="00726E1E" w:rsidRPr="00732B10" w:rsidRDefault="00726E1E" w:rsidP="00686888">
            <w:pPr>
              <w:spacing w:before="120" w:after="120"/>
              <w:ind w:left="72" w:right="72"/>
              <w:jc w:val="both"/>
              <w:rPr>
                <w:color w:val="231F20"/>
              </w:rPr>
            </w:pPr>
          </w:p>
        </w:tc>
      </w:tr>
      <w:tr w:rsidR="00C54027" w:rsidRPr="00845126" w14:paraId="152C6335" w14:textId="77777777" w:rsidTr="000B706C">
        <w:tc>
          <w:tcPr>
            <w:tcW w:w="810" w:type="dxa"/>
            <w:vMerge w:val="restart"/>
            <w:tcBorders>
              <w:top w:val="single" w:sz="18" w:space="0" w:color="auto"/>
              <w:left w:val="single" w:sz="18" w:space="0" w:color="auto"/>
            </w:tcBorders>
            <w:shd w:val="clear" w:color="auto" w:fill="F2F2F2" w:themeFill="background1" w:themeFillShade="F2"/>
          </w:tcPr>
          <w:p w14:paraId="66F02EA8" w14:textId="4609D14D" w:rsidR="00C54027" w:rsidRPr="00104C98" w:rsidRDefault="00C54027" w:rsidP="000B706C">
            <w:pPr>
              <w:tabs>
                <w:tab w:val="left" w:pos="72"/>
              </w:tabs>
              <w:spacing w:before="60" w:after="120"/>
              <w:ind w:left="72" w:right="56"/>
              <w:rPr>
                <w:rFonts w:ascii="Arial" w:hAnsi="Arial" w:cs="Arial"/>
                <w:b/>
                <w:sz w:val="22"/>
                <w:szCs w:val="22"/>
              </w:rPr>
            </w:pPr>
            <w:r w:rsidRPr="00104C98">
              <w:rPr>
                <w:rFonts w:ascii="Arial" w:hAnsi="Arial" w:cs="Arial"/>
                <w:b/>
                <w:sz w:val="22"/>
                <w:szCs w:val="22"/>
              </w:rPr>
              <w:t>1</w:t>
            </w:r>
            <w:r w:rsidR="00726E1E" w:rsidRPr="00104C98">
              <w:rPr>
                <w:rFonts w:ascii="Arial" w:hAnsi="Arial" w:cs="Arial"/>
                <w:b/>
                <w:sz w:val="22"/>
                <w:szCs w:val="22"/>
              </w:rPr>
              <w:t>7.4</w:t>
            </w:r>
          </w:p>
        </w:tc>
        <w:tc>
          <w:tcPr>
            <w:tcW w:w="4140" w:type="dxa"/>
            <w:vMerge w:val="restart"/>
            <w:tcBorders>
              <w:top w:val="single" w:sz="18" w:space="0" w:color="auto"/>
            </w:tcBorders>
          </w:tcPr>
          <w:p w14:paraId="4E0FC7EB" w14:textId="77C914E9" w:rsidR="00726E1E" w:rsidRPr="00726E1E" w:rsidRDefault="00726E1E" w:rsidP="000B706C">
            <w:pPr>
              <w:spacing w:before="60" w:after="120"/>
              <w:ind w:left="72" w:right="72"/>
              <w:jc w:val="both"/>
              <w:rPr>
                <w:rFonts w:ascii="Arial" w:hAnsi="Arial" w:cs="Arial"/>
                <w:color w:val="231F20"/>
                <w:sz w:val="22"/>
                <w:szCs w:val="22"/>
              </w:rPr>
            </w:pPr>
            <w:r w:rsidRPr="00726E1E">
              <w:rPr>
                <w:rFonts w:ascii="Arial" w:hAnsi="Arial" w:cs="Arial"/>
                <w:color w:val="231F20"/>
                <w:sz w:val="22"/>
                <w:szCs w:val="22"/>
              </w:rPr>
              <w:t xml:space="preserve">In the event of a reorganization, merger, acquisition, consolidation or other change to Contactor’s business impacting its performance under the Agreement (herein “Acquired Business </w:t>
            </w:r>
            <w:r w:rsidRPr="00104C98">
              <w:rPr>
                <w:rFonts w:ascii="Arial" w:hAnsi="Arial" w:cs="Arial"/>
                <w:color w:val="231F20"/>
                <w:sz w:val="22"/>
                <w:szCs w:val="22"/>
              </w:rPr>
              <w:t>Event” or “ABE”), the Contractor shall notify the Department in writing of such ABE as soon as possible,</w:t>
            </w:r>
            <w:r w:rsidR="00104C98" w:rsidRPr="00104C98">
              <w:rPr>
                <w:rFonts w:ascii="Arial" w:hAnsi="Arial" w:cs="Arial"/>
                <w:color w:val="231F20"/>
                <w:sz w:val="22"/>
                <w:szCs w:val="22"/>
              </w:rPr>
              <w:t xml:space="preserve"> </w:t>
            </w:r>
            <w:r w:rsidR="00104C98" w:rsidRPr="000B706C">
              <w:rPr>
                <w:rFonts w:ascii="Arial" w:hAnsi="Arial" w:cs="Arial"/>
                <w:color w:val="2F5496" w:themeColor="accent1" w:themeShade="BF"/>
                <w:sz w:val="22"/>
                <w:szCs w:val="22"/>
                <w:u w:val="single"/>
              </w:rPr>
              <w:t>in accordance with any timing restrictions that may be imposed on the release of such information by applicable law,</w:t>
            </w:r>
            <w:r w:rsidR="00104C98" w:rsidRPr="000B706C">
              <w:rPr>
                <w:rFonts w:ascii="Arial" w:hAnsi="Arial" w:cs="Arial"/>
                <w:color w:val="2F5496" w:themeColor="accent1" w:themeShade="BF"/>
                <w:sz w:val="22"/>
                <w:szCs w:val="22"/>
              </w:rPr>
              <w:t xml:space="preserve"> </w:t>
            </w:r>
            <w:r w:rsidR="00104C98" w:rsidRPr="00104C98">
              <w:rPr>
                <w:rFonts w:ascii="Arial" w:hAnsi="Arial" w:cs="Arial"/>
                <w:color w:val="231F20"/>
                <w:sz w:val="22"/>
                <w:szCs w:val="22"/>
              </w:rPr>
              <w:t xml:space="preserve">but no later than </w:t>
            </w:r>
            <w:r w:rsidR="00104C98" w:rsidRPr="00104C98">
              <w:rPr>
                <w:rFonts w:ascii="Arial" w:hAnsi="Arial" w:cs="Arial"/>
                <w:strike/>
                <w:color w:val="C00000"/>
                <w:sz w:val="22"/>
                <w:szCs w:val="22"/>
              </w:rPr>
              <w:t>five (5)</w:t>
            </w:r>
            <w:r w:rsidR="00104C98" w:rsidRPr="00104C98">
              <w:rPr>
                <w:rFonts w:ascii="Arial" w:hAnsi="Arial" w:cs="Arial"/>
                <w:color w:val="231F20"/>
                <w:sz w:val="22"/>
                <w:szCs w:val="22"/>
              </w:rPr>
              <w:t xml:space="preserve"> </w:t>
            </w:r>
            <w:r w:rsidR="00104C98" w:rsidRPr="000B706C">
              <w:rPr>
                <w:rFonts w:ascii="Arial" w:hAnsi="Arial" w:cs="Arial"/>
                <w:color w:val="2F5496" w:themeColor="accent1" w:themeShade="BF"/>
                <w:sz w:val="22"/>
                <w:szCs w:val="22"/>
                <w:u w:val="single"/>
              </w:rPr>
              <w:t>within two (2)</w:t>
            </w:r>
            <w:r w:rsidR="00104C98" w:rsidRPr="00104C98">
              <w:rPr>
                <w:rFonts w:ascii="Arial" w:hAnsi="Arial" w:cs="Arial"/>
                <w:color w:val="231F20"/>
                <w:sz w:val="22"/>
                <w:szCs w:val="22"/>
              </w:rPr>
              <w:t xml:space="preserve"> business days </w:t>
            </w:r>
            <w:r w:rsidR="00104C98" w:rsidRPr="00104C98">
              <w:rPr>
                <w:rFonts w:ascii="Arial" w:hAnsi="Arial" w:cs="Arial"/>
                <w:strike/>
                <w:color w:val="C00000"/>
                <w:sz w:val="22"/>
                <w:szCs w:val="22"/>
              </w:rPr>
              <w:t xml:space="preserve">after execution of a notice of intent regarding </w:t>
            </w:r>
            <w:r w:rsidR="00104C98" w:rsidRPr="000B706C">
              <w:rPr>
                <w:rFonts w:ascii="Arial" w:hAnsi="Arial" w:cs="Arial"/>
                <w:color w:val="2F5496" w:themeColor="accent1" w:themeShade="BF"/>
                <w:sz w:val="22"/>
                <w:szCs w:val="22"/>
                <w:u w:val="single"/>
              </w:rPr>
              <w:t>of the occurrence of</w:t>
            </w:r>
            <w:r w:rsidR="00104C98" w:rsidRPr="00104C98">
              <w:rPr>
                <w:rFonts w:ascii="Arial" w:hAnsi="Arial" w:cs="Arial"/>
                <w:color w:val="2F5496" w:themeColor="accent1" w:themeShade="BF"/>
                <w:sz w:val="22"/>
                <w:szCs w:val="22"/>
              </w:rPr>
              <w:t xml:space="preserve"> </w:t>
            </w:r>
            <w:r w:rsidR="00104C98" w:rsidRPr="000B706C">
              <w:rPr>
                <w:rFonts w:ascii="Arial" w:hAnsi="Arial" w:cs="Arial"/>
                <w:sz w:val="22"/>
                <w:szCs w:val="22"/>
              </w:rPr>
              <w:t>the ABE.</w:t>
            </w:r>
          </w:p>
          <w:p w14:paraId="14891BE2" w14:textId="4E756952" w:rsidR="00C54027" w:rsidRPr="00732B10" w:rsidRDefault="00726E1E" w:rsidP="00726E1E">
            <w:pPr>
              <w:spacing w:before="120" w:after="120"/>
              <w:ind w:left="72" w:right="72"/>
              <w:jc w:val="both"/>
              <w:rPr>
                <w:rFonts w:ascii="Arial" w:hAnsi="Arial" w:cs="Arial"/>
                <w:strike/>
              </w:rPr>
            </w:pPr>
            <w:r w:rsidRPr="00726E1E">
              <w:rPr>
                <w:rFonts w:ascii="Arial" w:hAnsi="Arial" w:cs="Arial"/>
                <w:color w:val="231F20"/>
                <w:sz w:val="22"/>
                <w:szCs w:val="22"/>
              </w:rPr>
              <w:t>The ABE written notification must be sent to the address for notices set forth in the Agreement and provide sufficient detail about the ABE and its impacts on the Services provided by the Contractor for the Department to assess whether the circumstances require contract termination.</w:t>
            </w:r>
          </w:p>
        </w:tc>
        <w:tc>
          <w:tcPr>
            <w:tcW w:w="4320" w:type="dxa"/>
            <w:gridSpan w:val="2"/>
            <w:tcBorders>
              <w:top w:val="single" w:sz="18" w:space="0" w:color="auto"/>
              <w:bottom w:val="dotted" w:sz="4" w:space="0" w:color="auto"/>
              <w:right w:val="single" w:sz="18" w:space="0" w:color="auto"/>
            </w:tcBorders>
          </w:tcPr>
          <w:p w14:paraId="4F915310" w14:textId="1FAEB079" w:rsidR="00C54027" w:rsidRPr="00726E1E" w:rsidRDefault="00726E1E" w:rsidP="000B706C">
            <w:pPr>
              <w:spacing w:before="60" w:after="120"/>
              <w:ind w:right="72"/>
              <w:jc w:val="both"/>
              <w:rPr>
                <w:rFonts w:ascii="Arial" w:hAnsi="Arial" w:cs="Arial"/>
                <w:strike/>
                <w:color w:val="231F20"/>
              </w:rPr>
            </w:pPr>
            <w:r w:rsidRPr="00726E1E">
              <w:rPr>
                <w:rFonts w:ascii="Arial" w:hAnsi="Arial" w:cs="Arial"/>
                <w:color w:val="292627"/>
                <w:sz w:val="22"/>
                <w:szCs w:val="22"/>
              </w:rPr>
              <w:t>The Bidder must affirm understanding of, and agreement to comply with, this Requirement.</w:t>
            </w:r>
          </w:p>
        </w:tc>
      </w:tr>
      <w:tr w:rsidR="000B706C" w:rsidRPr="00732B10" w14:paraId="665A9B10" w14:textId="77777777" w:rsidTr="000B706C">
        <w:tc>
          <w:tcPr>
            <w:tcW w:w="810" w:type="dxa"/>
            <w:vMerge/>
            <w:tcBorders>
              <w:left w:val="single" w:sz="18" w:space="0" w:color="auto"/>
            </w:tcBorders>
            <w:shd w:val="clear" w:color="auto" w:fill="F2F2F2" w:themeFill="background1" w:themeFillShade="F2"/>
          </w:tcPr>
          <w:p w14:paraId="62E6AC49" w14:textId="77777777" w:rsidR="00104C98" w:rsidRPr="00104C98" w:rsidRDefault="00104C98" w:rsidP="00104C98">
            <w:pPr>
              <w:tabs>
                <w:tab w:val="left" w:pos="613"/>
              </w:tabs>
              <w:spacing w:before="60" w:after="120"/>
              <w:ind w:left="72" w:right="72"/>
              <w:rPr>
                <w:rFonts w:ascii="Arial" w:hAnsi="Arial" w:cs="Arial"/>
                <w:b/>
                <w:sz w:val="22"/>
                <w:szCs w:val="22"/>
              </w:rPr>
            </w:pPr>
          </w:p>
        </w:tc>
        <w:tc>
          <w:tcPr>
            <w:tcW w:w="4140" w:type="dxa"/>
            <w:vMerge/>
          </w:tcPr>
          <w:p w14:paraId="466C6A06" w14:textId="77777777" w:rsidR="00104C98" w:rsidRPr="00732B10" w:rsidRDefault="00104C98" w:rsidP="00104C98">
            <w:pPr>
              <w:spacing w:before="60" w:after="120"/>
              <w:ind w:left="72" w:right="72"/>
              <w:jc w:val="both"/>
              <w:rPr>
                <w:rFonts w:ascii="Arial" w:hAnsi="Arial" w:cs="Arial"/>
                <w:strike/>
              </w:rPr>
            </w:pPr>
          </w:p>
        </w:tc>
        <w:tc>
          <w:tcPr>
            <w:tcW w:w="720" w:type="dxa"/>
            <w:tcBorders>
              <w:top w:val="dotted" w:sz="4" w:space="0" w:color="auto"/>
              <w:bottom w:val="dotted" w:sz="4" w:space="0" w:color="auto"/>
              <w:right w:val="nil"/>
            </w:tcBorders>
            <w:shd w:val="clear" w:color="auto" w:fill="FFF9E7"/>
          </w:tcPr>
          <w:p w14:paraId="16014FF4" w14:textId="00D9470B" w:rsidR="00104C98" w:rsidRPr="00732B10" w:rsidRDefault="007A1D78" w:rsidP="00104C98">
            <w:pPr>
              <w:spacing w:before="60" w:after="60"/>
              <w:ind w:left="103"/>
              <w:jc w:val="both"/>
              <w:rPr>
                <w:strike/>
              </w:rPr>
            </w:pPr>
            <w:sdt>
              <w:sdtPr>
                <w:rPr>
                  <w:sz w:val="40"/>
                </w:rPr>
                <w:id w:val="934558095"/>
                <w14:checkbox>
                  <w14:checked w14:val="0"/>
                  <w14:checkedState w14:val="2612" w14:font="MS Gothic"/>
                  <w14:uncheckedState w14:val="2610" w14:font="MS Gothic"/>
                </w14:checkbox>
              </w:sdtPr>
              <w:sdtEndPr/>
              <w:sdtContent>
                <w:r w:rsidR="00104C98" w:rsidRPr="00732B10">
                  <w:rPr>
                    <w:rFonts w:ascii="MS Gothic" w:eastAsia="MS Gothic" w:hAnsi="MS Gothic" w:cs="Arial" w:hint="eastAsia"/>
                    <w:sz w:val="40"/>
                  </w:rPr>
                  <w:t>☐</w:t>
                </w:r>
              </w:sdtContent>
            </w:sdt>
          </w:p>
        </w:tc>
        <w:tc>
          <w:tcPr>
            <w:tcW w:w="3600" w:type="dxa"/>
            <w:tcBorders>
              <w:top w:val="dotted" w:sz="4" w:space="0" w:color="auto"/>
              <w:left w:val="nil"/>
              <w:bottom w:val="dotted" w:sz="4" w:space="0" w:color="auto"/>
              <w:right w:val="single" w:sz="18" w:space="0" w:color="auto"/>
            </w:tcBorders>
            <w:shd w:val="clear" w:color="auto" w:fill="FFF9E7"/>
          </w:tcPr>
          <w:p w14:paraId="482C4B89" w14:textId="2A871916" w:rsidR="00104C98" w:rsidRPr="00732B10" w:rsidRDefault="00104C98" w:rsidP="00104C98">
            <w:pPr>
              <w:spacing w:before="60" w:after="60"/>
              <w:ind w:left="103"/>
              <w:jc w:val="both"/>
              <w:rPr>
                <w:rFonts w:ascii="Arial" w:hAnsi="Arial" w:cs="Arial"/>
                <w:strike/>
              </w:rPr>
            </w:pPr>
            <w:r w:rsidRPr="00104C98">
              <w:rPr>
                <w:rFonts w:ascii="Arial" w:hAnsi="Arial" w:cs="Arial"/>
                <w:sz w:val="22"/>
                <w:szCs w:val="22"/>
              </w:rPr>
              <w:t>Yes, the Bidder affirms its understanding of, and agreement to comply with, this Requirement.</w:t>
            </w:r>
          </w:p>
        </w:tc>
      </w:tr>
      <w:tr w:rsidR="00C54027" w:rsidRPr="00732B10" w14:paraId="3DF1F0C1" w14:textId="77777777" w:rsidTr="000B706C">
        <w:tc>
          <w:tcPr>
            <w:tcW w:w="810" w:type="dxa"/>
            <w:vMerge/>
            <w:tcBorders>
              <w:left w:val="single" w:sz="18" w:space="0" w:color="auto"/>
              <w:bottom w:val="single" w:sz="18" w:space="0" w:color="auto"/>
            </w:tcBorders>
            <w:shd w:val="clear" w:color="auto" w:fill="F2F2F2" w:themeFill="background1" w:themeFillShade="F2"/>
          </w:tcPr>
          <w:p w14:paraId="3CFB9BEA" w14:textId="77777777" w:rsidR="00C54027" w:rsidRPr="00104C98" w:rsidRDefault="00C54027" w:rsidP="00686888">
            <w:pPr>
              <w:tabs>
                <w:tab w:val="left" w:pos="613"/>
              </w:tabs>
              <w:spacing w:before="60" w:after="120"/>
              <w:ind w:left="72" w:right="72"/>
              <w:rPr>
                <w:rFonts w:ascii="Arial" w:hAnsi="Arial" w:cs="Arial"/>
                <w:b/>
                <w:sz w:val="22"/>
                <w:szCs w:val="22"/>
              </w:rPr>
            </w:pPr>
          </w:p>
        </w:tc>
        <w:tc>
          <w:tcPr>
            <w:tcW w:w="4140" w:type="dxa"/>
            <w:vMerge/>
            <w:tcBorders>
              <w:bottom w:val="single" w:sz="18" w:space="0" w:color="auto"/>
            </w:tcBorders>
          </w:tcPr>
          <w:p w14:paraId="1B993774" w14:textId="77777777" w:rsidR="00C54027" w:rsidRPr="00732B10" w:rsidRDefault="00C54027" w:rsidP="00686888">
            <w:pPr>
              <w:spacing w:before="60" w:after="120"/>
              <w:ind w:left="72" w:right="72"/>
              <w:jc w:val="both"/>
              <w:rPr>
                <w:rFonts w:ascii="Arial" w:hAnsi="Arial" w:cs="Arial"/>
                <w:strike/>
              </w:rPr>
            </w:pPr>
          </w:p>
        </w:tc>
        <w:tc>
          <w:tcPr>
            <w:tcW w:w="4320" w:type="dxa"/>
            <w:gridSpan w:val="2"/>
            <w:tcBorders>
              <w:top w:val="dotted" w:sz="4" w:space="0" w:color="auto"/>
              <w:bottom w:val="single" w:sz="18" w:space="0" w:color="auto"/>
              <w:right w:val="single" w:sz="18" w:space="0" w:color="auto"/>
            </w:tcBorders>
            <w:shd w:val="clear" w:color="auto" w:fill="auto"/>
          </w:tcPr>
          <w:p w14:paraId="5FF10FA4" w14:textId="77777777" w:rsidR="00C54027" w:rsidRPr="00732B10" w:rsidRDefault="00C54027" w:rsidP="00104C98">
            <w:pPr>
              <w:ind w:left="103"/>
              <w:jc w:val="both"/>
              <w:rPr>
                <w:rFonts w:ascii="Arial" w:hAnsi="Arial" w:cs="Arial"/>
                <w:b/>
                <w:bCs/>
              </w:rPr>
            </w:pPr>
          </w:p>
        </w:tc>
      </w:tr>
      <w:tr w:rsidR="00104C98" w:rsidRPr="00726E1E" w14:paraId="7CF62844" w14:textId="77777777" w:rsidTr="000B706C">
        <w:tc>
          <w:tcPr>
            <w:tcW w:w="810" w:type="dxa"/>
            <w:vMerge w:val="restart"/>
            <w:tcBorders>
              <w:top w:val="single" w:sz="18" w:space="0" w:color="auto"/>
              <w:left w:val="single" w:sz="18" w:space="0" w:color="auto"/>
            </w:tcBorders>
            <w:shd w:val="clear" w:color="auto" w:fill="F2F2F2" w:themeFill="background1" w:themeFillShade="F2"/>
          </w:tcPr>
          <w:p w14:paraId="6B0E2732" w14:textId="5DC79EF1" w:rsidR="00104C98" w:rsidRPr="00104C98" w:rsidRDefault="00104C98" w:rsidP="000B706C">
            <w:pPr>
              <w:tabs>
                <w:tab w:val="left" w:pos="72"/>
              </w:tabs>
              <w:spacing w:before="60" w:after="120"/>
              <w:ind w:left="72" w:right="56"/>
              <w:rPr>
                <w:rFonts w:ascii="Arial" w:hAnsi="Arial" w:cs="Arial"/>
                <w:b/>
                <w:sz w:val="22"/>
                <w:szCs w:val="22"/>
              </w:rPr>
            </w:pPr>
            <w:r w:rsidRPr="00104C98">
              <w:rPr>
                <w:rFonts w:ascii="Arial" w:hAnsi="Arial" w:cs="Arial"/>
                <w:b/>
                <w:sz w:val="22"/>
                <w:szCs w:val="22"/>
              </w:rPr>
              <w:t>17.5</w:t>
            </w:r>
          </w:p>
        </w:tc>
        <w:tc>
          <w:tcPr>
            <w:tcW w:w="4140" w:type="dxa"/>
            <w:vMerge w:val="restart"/>
            <w:tcBorders>
              <w:top w:val="single" w:sz="18" w:space="0" w:color="auto"/>
            </w:tcBorders>
          </w:tcPr>
          <w:p w14:paraId="110F479D" w14:textId="5B5FE7E6" w:rsidR="00104C98" w:rsidRPr="00732B10" w:rsidRDefault="00104C98" w:rsidP="000B706C">
            <w:pPr>
              <w:spacing w:before="60" w:after="60"/>
              <w:ind w:left="72" w:right="72"/>
              <w:jc w:val="both"/>
              <w:rPr>
                <w:rFonts w:ascii="Arial" w:hAnsi="Arial" w:cs="Arial"/>
                <w:strike/>
              </w:rPr>
            </w:pPr>
            <w:r w:rsidRPr="00104C98">
              <w:rPr>
                <w:rFonts w:ascii="Arial" w:hAnsi="Arial" w:cs="Arial"/>
                <w:color w:val="231F20"/>
                <w:sz w:val="22"/>
                <w:szCs w:val="22"/>
              </w:rPr>
              <w:t>If the Contract is terminated by the Department prior to Contractor’s drafting a complete and acceptable Transition Plan, Contractor shall immediately begin work with the Department to complete a detailed Transition Plan. The Department will set a deadline for transition activities in the notice of termination and Contractor will comply with the deadline in good faith.</w:t>
            </w:r>
            <w:r w:rsidRPr="00732B10">
              <w:rPr>
                <w:rFonts w:ascii="Cambria" w:hAnsi="Cambria"/>
              </w:rPr>
              <w:t xml:space="preserve">  </w:t>
            </w:r>
          </w:p>
        </w:tc>
        <w:tc>
          <w:tcPr>
            <w:tcW w:w="4320" w:type="dxa"/>
            <w:gridSpan w:val="2"/>
            <w:tcBorders>
              <w:top w:val="single" w:sz="18" w:space="0" w:color="auto"/>
              <w:bottom w:val="dotted" w:sz="4" w:space="0" w:color="auto"/>
              <w:right w:val="single" w:sz="18" w:space="0" w:color="auto"/>
            </w:tcBorders>
          </w:tcPr>
          <w:p w14:paraId="123B0331" w14:textId="77777777" w:rsidR="00104C98" w:rsidRPr="00726E1E" w:rsidRDefault="00104C98" w:rsidP="000B706C">
            <w:pPr>
              <w:spacing w:before="60" w:after="120"/>
              <w:ind w:right="72"/>
              <w:jc w:val="both"/>
              <w:rPr>
                <w:rFonts w:ascii="Arial" w:hAnsi="Arial" w:cs="Arial"/>
                <w:strike/>
                <w:color w:val="231F20"/>
              </w:rPr>
            </w:pPr>
            <w:r w:rsidRPr="00726E1E">
              <w:rPr>
                <w:rFonts w:ascii="Arial" w:hAnsi="Arial" w:cs="Arial"/>
                <w:color w:val="292627"/>
                <w:sz w:val="22"/>
                <w:szCs w:val="22"/>
              </w:rPr>
              <w:t>The Bidder must affirm understanding of, and agreement to comply with, this Requirement.</w:t>
            </w:r>
          </w:p>
        </w:tc>
      </w:tr>
      <w:tr w:rsidR="00104C98" w:rsidRPr="00732B10" w14:paraId="48355DA8" w14:textId="77777777" w:rsidTr="000B706C">
        <w:tc>
          <w:tcPr>
            <w:tcW w:w="810" w:type="dxa"/>
            <w:vMerge/>
            <w:tcBorders>
              <w:left w:val="single" w:sz="18" w:space="0" w:color="auto"/>
            </w:tcBorders>
            <w:shd w:val="clear" w:color="auto" w:fill="F2F2F2" w:themeFill="background1" w:themeFillShade="F2"/>
          </w:tcPr>
          <w:p w14:paraId="0A73C51F" w14:textId="77777777" w:rsidR="00104C98" w:rsidRPr="00732B10" w:rsidRDefault="00104C98" w:rsidP="00651E5B">
            <w:pPr>
              <w:tabs>
                <w:tab w:val="left" w:pos="613"/>
              </w:tabs>
              <w:spacing w:before="60" w:after="120"/>
              <w:ind w:left="72" w:right="72"/>
              <w:rPr>
                <w:rFonts w:ascii="Arial" w:hAnsi="Arial" w:cs="Arial"/>
                <w:b/>
              </w:rPr>
            </w:pPr>
          </w:p>
        </w:tc>
        <w:tc>
          <w:tcPr>
            <w:tcW w:w="4140" w:type="dxa"/>
            <w:vMerge/>
          </w:tcPr>
          <w:p w14:paraId="165DF907" w14:textId="77777777" w:rsidR="00104C98" w:rsidRPr="00732B10" w:rsidRDefault="00104C98" w:rsidP="00651E5B">
            <w:pPr>
              <w:spacing w:before="60" w:after="120"/>
              <w:ind w:left="72" w:right="72"/>
              <w:jc w:val="both"/>
              <w:rPr>
                <w:rFonts w:ascii="Arial" w:hAnsi="Arial" w:cs="Arial"/>
                <w:strike/>
              </w:rPr>
            </w:pPr>
          </w:p>
        </w:tc>
        <w:tc>
          <w:tcPr>
            <w:tcW w:w="720" w:type="dxa"/>
            <w:tcBorders>
              <w:top w:val="dotted" w:sz="4" w:space="0" w:color="auto"/>
              <w:bottom w:val="dotted" w:sz="4" w:space="0" w:color="auto"/>
              <w:right w:val="nil"/>
            </w:tcBorders>
            <w:shd w:val="clear" w:color="auto" w:fill="FFF9E7"/>
          </w:tcPr>
          <w:p w14:paraId="2E272EF3" w14:textId="77777777" w:rsidR="00104C98" w:rsidRPr="00732B10" w:rsidRDefault="007A1D78" w:rsidP="00104C98">
            <w:pPr>
              <w:spacing w:before="60" w:after="60"/>
              <w:ind w:left="103"/>
              <w:jc w:val="both"/>
              <w:rPr>
                <w:strike/>
              </w:rPr>
            </w:pPr>
            <w:sdt>
              <w:sdtPr>
                <w:rPr>
                  <w:sz w:val="40"/>
                </w:rPr>
                <w:id w:val="-1354023237"/>
                <w14:checkbox>
                  <w14:checked w14:val="0"/>
                  <w14:checkedState w14:val="2612" w14:font="MS Gothic"/>
                  <w14:uncheckedState w14:val="2610" w14:font="MS Gothic"/>
                </w14:checkbox>
              </w:sdtPr>
              <w:sdtEndPr/>
              <w:sdtContent>
                <w:r w:rsidR="00104C98" w:rsidRPr="00732B10">
                  <w:rPr>
                    <w:rFonts w:ascii="MS Gothic" w:eastAsia="MS Gothic" w:hAnsi="MS Gothic" w:cs="Arial" w:hint="eastAsia"/>
                    <w:sz w:val="40"/>
                  </w:rPr>
                  <w:t>☐</w:t>
                </w:r>
              </w:sdtContent>
            </w:sdt>
          </w:p>
        </w:tc>
        <w:tc>
          <w:tcPr>
            <w:tcW w:w="3600" w:type="dxa"/>
            <w:tcBorders>
              <w:top w:val="dotted" w:sz="4" w:space="0" w:color="auto"/>
              <w:left w:val="nil"/>
              <w:bottom w:val="dotted" w:sz="4" w:space="0" w:color="auto"/>
              <w:right w:val="single" w:sz="18" w:space="0" w:color="auto"/>
            </w:tcBorders>
            <w:shd w:val="clear" w:color="auto" w:fill="FFF9E7"/>
          </w:tcPr>
          <w:p w14:paraId="3040FCF7" w14:textId="77777777" w:rsidR="00104C98" w:rsidRPr="00732B10" w:rsidRDefault="00104C98" w:rsidP="00104C98">
            <w:pPr>
              <w:spacing w:before="60" w:after="60"/>
              <w:ind w:left="103"/>
              <w:jc w:val="both"/>
              <w:rPr>
                <w:rFonts w:ascii="Arial" w:hAnsi="Arial" w:cs="Arial"/>
                <w:strike/>
              </w:rPr>
            </w:pPr>
            <w:r w:rsidRPr="00104C98">
              <w:rPr>
                <w:rFonts w:ascii="Arial" w:hAnsi="Arial" w:cs="Arial"/>
                <w:sz w:val="22"/>
                <w:szCs w:val="22"/>
              </w:rPr>
              <w:t>Yes, the Bidder affirms its understanding of, and agreement to comply with, this Requirement.</w:t>
            </w:r>
          </w:p>
        </w:tc>
      </w:tr>
      <w:tr w:rsidR="00104C98" w:rsidRPr="00732B10" w14:paraId="1EC3793A" w14:textId="77777777" w:rsidTr="000B706C">
        <w:tc>
          <w:tcPr>
            <w:tcW w:w="810" w:type="dxa"/>
            <w:vMerge/>
            <w:tcBorders>
              <w:left w:val="single" w:sz="18" w:space="0" w:color="auto"/>
              <w:bottom w:val="single" w:sz="18" w:space="0" w:color="auto"/>
            </w:tcBorders>
            <w:shd w:val="clear" w:color="auto" w:fill="F2F2F2" w:themeFill="background1" w:themeFillShade="F2"/>
          </w:tcPr>
          <w:p w14:paraId="4256CC46" w14:textId="77777777" w:rsidR="00104C98" w:rsidRPr="00732B10" w:rsidRDefault="00104C98" w:rsidP="00651E5B">
            <w:pPr>
              <w:tabs>
                <w:tab w:val="left" w:pos="613"/>
              </w:tabs>
              <w:spacing w:before="60" w:after="120"/>
              <w:ind w:left="72" w:right="72"/>
              <w:rPr>
                <w:rFonts w:ascii="Arial" w:hAnsi="Arial" w:cs="Arial"/>
                <w:b/>
              </w:rPr>
            </w:pPr>
          </w:p>
        </w:tc>
        <w:tc>
          <w:tcPr>
            <w:tcW w:w="4140" w:type="dxa"/>
            <w:vMerge/>
            <w:tcBorders>
              <w:bottom w:val="single" w:sz="18" w:space="0" w:color="auto"/>
            </w:tcBorders>
          </w:tcPr>
          <w:p w14:paraId="16E775E5" w14:textId="77777777" w:rsidR="00104C98" w:rsidRPr="00732B10" w:rsidRDefault="00104C98" w:rsidP="00651E5B">
            <w:pPr>
              <w:spacing w:before="60" w:after="120"/>
              <w:ind w:left="72" w:right="72"/>
              <w:jc w:val="both"/>
              <w:rPr>
                <w:rFonts w:ascii="Arial" w:hAnsi="Arial" w:cs="Arial"/>
                <w:strike/>
              </w:rPr>
            </w:pPr>
          </w:p>
        </w:tc>
        <w:tc>
          <w:tcPr>
            <w:tcW w:w="4320" w:type="dxa"/>
            <w:gridSpan w:val="2"/>
            <w:tcBorders>
              <w:top w:val="dotted" w:sz="4" w:space="0" w:color="auto"/>
              <w:bottom w:val="single" w:sz="18" w:space="0" w:color="auto"/>
              <w:right w:val="single" w:sz="18" w:space="0" w:color="auto"/>
            </w:tcBorders>
            <w:shd w:val="clear" w:color="auto" w:fill="auto"/>
          </w:tcPr>
          <w:p w14:paraId="48A28B36" w14:textId="77777777" w:rsidR="00104C98" w:rsidRPr="00732B10" w:rsidRDefault="00104C98" w:rsidP="00651E5B">
            <w:pPr>
              <w:ind w:left="103"/>
              <w:jc w:val="both"/>
              <w:rPr>
                <w:rFonts w:ascii="Arial" w:hAnsi="Arial" w:cs="Arial"/>
                <w:b/>
                <w:bCs/>
              </w:rPr>
            </w:pPr>
          </w:p>
        </w:tc>
      </w:tr>
      <w:tr w:rsidR="00104C98" w:rsidRPr="00732B10" w14:paraId="2E5A5D29" w14:textId="77777777" w:rsidTr="00104C98">
        <w:trPr>
          <w:trHeight w:val="47"/>
        </w:trPr>
        <w:tc>
          <w:tcPr>
            <w:tcW w:w="9270" w:type="dxa"/>
            <w:gridSpan w:val="4"/>
            <w:tcBorders>
              <w:top w:val="single" w:sz="18" w:space="0" w:color="auto"/>
              <w:left w:val="single" w:sz="18" w:space="0" w:color="auto"/>
              <w:bottom w:val="single" w:sz="18" w:space="0" w:color="auto"/>
              <w:right w:val="single" w:sz="18" w:space="0" w:color="auto"/>
            </w:tcBorders>
            <w:shd w:val="clear" w:color="auto" w:fill="007681"/>
          </w:tcPr>
          <w:p w14:paraId="4A0B4B73" w14:textId="77777777" w:rsidR="00104C98" w:rsidRPr="00732B10" w:rsidRDefault="00104C98" w:rsidP="000B706C">
            <w:pPr>
              <w:widowControl w:val="0"/>
              <w:spacing w:before="60" w:after="60"/>
              <w:ind w:left="72" w:right="72" w:hanging="1"/>
              <w:jc w:val="center"/>
              <w:rPr>
                <w:rFonts w:ascii="Arial" w:hAnsi="Arial" w:cs="Arial"/>
                <w:b/>
                <w:bCs/>
                <w:color w:val="FFFFFF" w:themeColor="background1"/>
                <w:sz w:val="24"/>
                <w:szCs w:val="24"/>
              </w:rPr>
            </w:pPr>
            <w:r w:rsidRPr="00732B10">
              <w:rPr>
                <w:rFonts w:ascii="Arial" w:hAnsi="Arial" w:cs="Arial"/>
                <w:b/>
                <w:bCs/>
                <w:color w:val="FFFFFF" w:themeColor="background1"/>
                <w:sz w:val="24"/>
                <w:szCs w:val="24"/>
              </w:rPr>
              <w:t>END OF TABLE 2.2</w:t>
            </w:r>
          </w:p>
        </w:tc>
      </w:tr>
    </w:tbl>
    <w:p w14:paraId="353A22F4" w14:textId="4DFE439A" w:rsidR="000B706C" w:rsidRPr="000B706C" w:rsidRDefault="000B706C" w:rsidP="000B706C">
      <w:pPr>
        <w:tabs>
          <w:tab w:val="left" w:pos="7499"/>
        </w:tabs>
        <w:sectPr w:rsidR="000B706C" w:rsidRPr="000B706C" w:rsidSect="000B706C">
          <w:headerReference w:type="default" r:id="rId21"/>
          <w:footerReference w:type="default" r:id="rId22"/>
          <w:pgSz w:w="12240" w:h="15840" w:code="1"/>
          <w:pgMar w:top="720" w:right="720" w:bottom="720" w:left="720" w:header="288" w:footer="432" w:gutter="0"/>
          <w:cols w:space="720"/>
          <w:docGrid w:linePitch="360"/>
        </w:sectPr>
      </w:pPr>
    </w:p>
    <w:p w14:paraId="71311600" w14:textId="77777777" w:rsidR="003D324E" w:rsidRPr="00B6529E" w:rsidRDefault="003D324E" w:rsidP="003D324E">
      <w:pPr>
        <w:spacing w:line="240" w:lineRule="auto"/>
        <w:ind w:left="1620" w:right="86"/>
        <w:jc w:val="both"/>
      </w:pPr>
      <w:bookmarkStart w:id="12" w:name="_Toc427312844"/>
      <w:bookmarkStart w:id="13" w:name="_Toc252451611"/>
      <w:bookmarkStart w:id="14" w:name="_Toc353365529"/>
      <w:bookmarkStart w:id="15" w:name="_Toc353373225"/>
      <w:bookmarkStart w:id="16" w:name="_Toc354741617"/>
      <w:bookmarkStart w:id="17" w:name="_Toc354741884"/>
      <w:bookmarkStart w:id="18" w:name="_Toc355102622"/>
      <w:bookmarkStart w:id="19" w:name="_Toc355106293"/>
      <w:bookmarkEnd w:id="12"/>
      <w:bookmarkEnd w:id="13"/>
      <w:bookmarkEnd w:id="14"/>
      <w:bookmarkEnd w:id="15"/>
      <w:bookmarkEnd w:id="16"/>
      <w:bookmarkEnd w:id="17"/>
      <w:bookmarkEnd w:id="18"/>
      <w:bookmarkEnd w:id="19"/>
      <w:r w:rsidRPr="00B6529E">
        <w:rPr>
          <w:b/>
        </w:rPr>
        <w:lastRenderedPageBreak/>
        <w:t>the Contract, leading to the withholding of funds, suspension or termination of the Contract or such other actions or enforcement proceedings as allowed by the Contract.</w:t>
      </w:r>
    </w:p>
    <w:p w14:paraId="3B56CE5B" w14:textId="77777777" w:rsidR="003D324E" w:rsidRPr="003D324E" w:rsidRDefault="003D324E" w:rsidP="003D324E">
      <w:pPr>
        <w:pStyle w:val="ListParagraph"/>
        <w:keepNext/>
        <w:numPr>
          <w:ilvl w:val="0"/>
          <w:numId w:val="18"/>
        </w:numPr>
        <w:tabs>
          <w:tab w:val="left" w:pos="720"/>
          <w:tab w:val="left" w:pos="900"/>
        </w:tabs>
        <w:spacing w:before="240" w:after="60" w:line="240" w:lineRule="auto"/>
        <w:ind w:right="86"/>
        <w:jc w:val="both"/>
        <w:outlineLvl w:val="2"/>
        <w:rPr>
          <w:rFonts w:ascii="Arial" w:eastAsia="Times New Roman" w:hAnsi="Arial" w:cs="Arial"/>
          <w:b/>
          <w:bCs/>
          <w:vanish/>
          <w:color w:val="000000"/>
          <w:sz w:val="24"/>
          <w:lang w:val="x-none" w:eastAsia="x-none"/>
        </w:rPr>
      </w:pPr>
      <w:bookmarkStart w:id="20" w:name="_Toc146188461"/>
      <w:bookmarkStart w:id="21" w:name="_Toc157078579"/>
    </w:p>
    <w:p w14:paraId="3EDC111A" w14:textId="77777777" w:rsidR="003D324E" w:rsidRPr="003D324E" w:rsidRDefault="003D324E" w:rsidP="003D324E">
      <w:pPr>
        <w:pStyle w:val="ListParagraph"/>
        <w:keepNext/>
        <w:numPr>
          <w:ilvl w:val="1"/>
          <w:numId w:val="18"/>
        </w:numPr>
        <w:tabs>
          <w:tab w:val="left" w:pos="720"/>
          <w:tab w:val="left" w:pos="900"/>
        </w:tabs>
        <w:spacing w:before="240" w:after="60" w:line="240" w:lineRule="auto"/>
        <w:ind w:right="86"/>
        <w:jc w:val="both"/>
        <w:outlineLvl w:val="2"/>
        <w:rPr>
          <w:rFonts w:ascii="Arial" w:eastAsia="Times New Roman" w:hAnsi="Arial" w:cs="Arial"/>
          <w:b/>
          <w:bCs/>
          <w:vanish/>
          <w:color w:val="000000"/>
          <w:sz w:val="24"/>
          <w:lang w:val="x-none" w:eastAsia="x-none"/>
        </w:rPr>
      </w:pPr>
    </w:p>
    <w:p w14:paraId="6DBB2B40" w14:textId="77777777" w:rsidR="003D324E" w:rsidRPr="003D324E" w:rsidRDefault="003D324E" w:rsidP="003D324E">
      <w:pPr>
        <w:pStyle w:val="ListParagraph"/>
        <w:keepNext/>
        <w:numPr>
          <w:ilvl w:val="1"/>
          <w:numId w:val="18"/>
        </w:numPr>
        <w:tabs>
          <w:tab w:val="left" w:pos="720"/>
          <w:tab w:val="left" w:pos="900"/>
        </w:tabs>
        <w:spacing w:before="240" w:after="60" w:line="240" w:lineRule="auto"/>
        <w:ind w:right="86"/>
        <w:jc w:val="both"/>
        <w:outlineLvl w:val="2"/>
        <w:rPr>
          <w:rFonts w:ascii="Arial" w:eastAsia="Times New Roman" w:hAnsi="Arial" w:cs="Arial"/>
          <w:b/>
          <w:bCs/>
          <w:vanish/>
          <w:color w:val="000000"/>
          <w:sz w:val="24"/>
          <w:lang w:val="x-none" w:eastAsia="x-none"/>
        </w:rPr>
      </w:pPr>
    </w:p>
    <w:p w14:paraId="37823C8C" w14:textId="77777777" w:rsidR="003D324E" w:rsidRPr="003D324E" w:rsidRDefault="003D324E" w:rsidP="003D324E">
      <w:pPr>
        <w:pStyle w:val="ListParagraph"/>
        <w:keepNext/>
        <w:numPr>
          <w:ilvl w:val="2"/>
          <w:numId w:val="18"/>
        </w:numPr>
        <w:tabs>
          <w:tab w:val="left" w:pos="720"/>
          <w:tab w:val="left" w:pos="900"/>
        </w:tabs>
        <w:spacing w:before="240" w:after="60" w:line="240" w:lineRule="auto"/>
        <w:ind w:right="86"/>
        <w:jc w:val="both"/>
        <w:outlineLvl w:val="2"/>
        <w:rPr>
          <w:rFonts w:ascii="Arial" w:eastAsia="Times New Roman" w:hAnsi="Arial" w:cs="Arial"/>
          <w:b/>
          <w:bCs/>
          <w:vanish/>
          <w:color w:val="000000"/>
          <w:sz w:val="24"/>
          <w:lang w:val="x-none" w:eastAsia="x-none"/>
        </w:rPr>
      </w:pPr>
    </w:p>
    <w:p w14:paraId="7AE9EB08" w14:textId="77777777" w:rsidR="003D324E" w:rsidRPr="003D324E" w:rsidRDefault="003D324E" w:rsidP="003D324E">
      <w:pPr>
        <w:pStyle w:val="ListParagraph"/>
        <w:keepNext/>
        <w:numPr>
          <w:ilvl w:val="2"/>
          <w:numId w:val="18"/>
        </w:numPr>
        <w:tabs>
          <w:tab w:val="left" w:pos="720"/>
          <w:tab w:val="left" w:pos="900"/>
        </w:tabs>
        <w:spacing w:before="240" w:after="60" w:line="240" w:lineRule="auto"/>
        <w:ind w:right="86"/>
        <w:jc w:val="both"/>
        <w:outlineLvl w:val="2"/>
        <w:rPr>
          <w:rFonts w:ascii="Arial" w:eastAsia="Times New Roman" w:hAnsi="Arial" w:cs="Arial"/>
          <w:b/>
          <w:bCs/>
          <w:vanish/>
          <w:color w:val="000000"/>
          <w:sz w:val="24"/>
          <w:lang w:val="x-none" w:eastAsia="x-none"/>
        </w:rPr>
      </w:pPr>
    </w:p>
    <w:p w14:paraId="1566DD2A" w14:textId="77777777" w:rsidR="003D324E" w:rsidRPr="003D324E" w:rsidRDefault="003D324E" w:rsidP="003D324E">
      <w:pPr>
        <w:pStyle w:val="ListParagraph"/>
        <w:keepNext/>
        <w:numPr>
          <w:ilvl w:val="2"/>
          <w:numId w:val="18"/>
        </w:numPr>
        <w:tabs>
          <w:tab w:val="left" w:pos="720"/>
          <w:tab w:val="left" w:pos="900"/>
        </w:tabs>
        <w:spacing w:before="240" w:after="60" w:line="240" w:lineRule="auto"/>
        <w:ind w:right="86"/>
        <w:jc w:val="both"/>
        <w:outlineLvl w:val="2"/>
        <w:rPr>
          <w:rFonts w:ascii="Arial" w:eastAsia="Times New Roman" w:hAnsi="Arial" w:cs="Arial"/>
          <w:b/>
          <w:bCs/>
          <w:vanish/>
          <w:color w:val="000000"/>
          <w:sz w:val="24"/>
          <w:lang w:val="x-none" w:eastAsia="x-none"/>
        </w:rPr>
      </w:pPr>
    </w:p>
    <w:p w14:paraId="6573402C" w14:textId="77777777" w:rsidR="003D324E" w:rsidRPr="003D324E" w:rsidRDefault="003D324E" w:rsidP="003D324E">
      <w:pPr>
        <w:pStyle w:val="ListParagraph"/>
        <w:keepNext/>
        <w:numPr>
          <w:ilvl w:val="2"/>
          <w:numId w:val="18"/>
        </w:numPr>
        <w:tabs>
          <w:tab w:val="left" w:pos="720"/>
          <w:tab w:val="left" w:pos="900"/>
        </w:tabs>
        <w:spacing w:before="240" w:after="60" w:line="240" w:lineRule="auto"/>
        <w:ind w:right="86"/>
        <w:jc w:val="both"/>
        <w:outlineLvl w:val="2"/>
        <w:rPr>
          <w:rFonts w:ascii="Arial" w:eastAsia="Times New Roman" w:hAnsi="Arial" w:cs="Arial"/>
          <w:b/>
          <w:bCs/>
          <w:vanish/>
          <w:color w:val="000000"/>
          <w:sz w:val="24"/>
          <w:lang w:val="x-none" w:eastAsia="x-none"/>
        </w:rPr>
      </w:pPr>
    </w:p>
    <w:p w14:paraId="55ADD00F" w14:textId="77777777" w:rsidR="003D324E" w:rsidRPr="003D324E" w:rsidRDefault="003D324E" w:rsidP="003D324E">
      <w:pPr>
        <w:pStyle w:val="ListParagraph"/>
        <w:keepNext/>
        <w:numPr>
          <w:ilvl w:val="2"/>
          <w:numId w:val="18"/>
        </w:numPr>
        <w:tabs>
          <w:tab w:val="left" w:pos="720"/>
          <w:tab w:val="left" w:pos="900"/>
        </w:tabs>
        <w:spacing w:before="240" w:after="60" w:line="240" w:lineRule="auto"/>
        <w:ind w:right="86"/>
        <w:jc w:val="both"/>
        <w:outlineLvl w:val="2"/>
        <w:rPr>
          <w:rFonts w:ascii="Arial" w:eastAsia="Times New Roman" w:hAnsi="Arial" w:cs="Arial"/>
          <w:b/>
          <w:bCs/>
          <w:vanish/>
          <w:color w:val="000000"/>
          <w:sz w:val="24"/>
          <w:lang w:val="x-none" w:eastAsia="x-none"/>
        </w:rPr>
      </w:pPr>
    </w:p>
    <w:p w14:paraId="779133B0" w14:textId="77777777" w:rsidR="003D324E" w:rsidRPr="003D324E" w:rsidRDefault="003D324E" w:rsidP="003D324E">
      <w:pPr>
        <w:pStyle w:val="ListParagraph"/>
        <w:keepNext/>
        <w:numPr>
          <w:ilvl w:val="2"/>
          <w:numId w:val="18"/>
        </w:numPr>
        <w:tabs>
          <w:tab w:val="left" w:pos="720"/>
          <w:tab w:val="left" w:pos="900"/>
        </w:tabs>
        <w:spacing w:before="240" w:after="60" w:line="240" w:lineRule="auto"/>
        <w:ind w:right="86"/>
        <w:jc w:val="both"/>
        <w:outlineLvl w:val="2"/>
        <w:rPr>
          <w:rFonts w:ascii="Arial" w:eastAsia="Times New Roman" w:hAnsi="Arial" w:cs="Arial"/>
          <w:b/>
          <w:bCs/>
          <w:vanish/>
          <w:color w:val="000000"/>
          <w:sz w:val="24"/>
          <w:lang w:val="x-none" w:eastAsia="x-none"/>
        </w:rPr>
      </w:pPr>
    </w:p>
    <w:p w14:paraId="0325F0F2" w14:textId="0813B847" w:rsidR="003D324E" w:rsidRPr="003D324E" w:rsidRDefault="003D324E" w:rsidP="003D324E">
      <w:pPr>
        <w:pStyle w:val="Heading3"/>
        <w:keepLines w:val="0"/>
        <w:numPr>
          <w:ilvl w:val="2"/>
          <w:numId w:val="18"/>
        </w:numPr>
        <w:tabs>
          <w:tab w:val="left" w:pos="720"/>
          <w:tab w:val="left" w:pos="900"/>
        </w:tabs>
        <w:spacing w:before="240" w:after="60" w:line="240" w:lineRule="auto"/>
        <w:ind w:left="1620" w:right="86" w:hanging="900"/>
        <w:jc w:val="both"/>
        <w:rPr>
          <w:rFonts w:ascii="Arial" w:eastAsia="Times New Roman" w:hAnsi="Arial" w:cs="Arial"/>
          <w:b/>
          <w:bCs/>
          <w:color w:val="000000"/>
          <w:kern w:val="0"/>
          <w:szCs w:val="22"/>
          <w:lang w:val="x-none" w:eastAsia="x-none"/>
          <w14:ligatures w14:val="none"/>
        </w:rPr>
      </w:pPr>
      <w:r w:rsidRPr="003D324E">
        <w:rPr>
          <w:rFonts w:ascii="Arial" w:eastAsia="Times New Roman" w:hAnsi="Arial" w:cs="Arial"/>
          <w:b/>
          <w:bCs/>
          <w:color w:val="000000"/>
          <w:kern w:val="0"/>
          <w:szCs w:val="22"/>
          <w:lang w:val="x-none" w:eastAsia="x-none"/>
          <w14:ligatures w14:val="none"/>
        </w:rPr>
        <w:t>Participation Opportunities for New York State Certified Service-Disabled Veteran-Owned Business Enterprises</w:t>
      </w:r>
      <w:bookmarkEnd w:id="20"/>
      <w:bookmarkEnd w:id="21"/>
    </w:p>
    <w:p w14:paraId="6199199A" w14:textId="77777777" w:rsidR="003D324E" w:rsidRPr="00B6529E" w:rsidRDefault="003D324E" w:rsidP="003D324E">
      <w:pPr>
        <w:spacing w:line="240" w:lineRule="auto"/>
        <w:ind w:left="1620" w:right="86"/>
        <w:jc w:val="both"/>
      </w:pPr>
      <w:r w:rsidRPr="00B6529E">
        <w:t xml:space="preserve">Article 17-B of the New York State Executive Law provides for more meaningful participation in public procurement by certified Service-Disabled Veteran-Owned Businesses (“SDVOBs”), thereby further integrating such businesses into New York State’s economy. The Department of Taxation and Finance recognizes the need to promote the employment of service-disabled veterans and to ensure that certified service-disabled veteran-owned businesses have opportunities for maximum feasible participation in the performance of the Department of Taxation and Finance contracts. </w:t>
      </w:r>
    </w:p>
    <w:p w14:paraId="497810CC" w14:textId="77777777" w:rsidR="003D324E" w:rsidRPr="00B6529E" w:rsidRDefault="003D324E" w:rsidP="003D324E">
      <w:pPr>
        <w:spacing w:line="240" w:lineRule="auto"/>
        <w:ind w:left="1620" w:right="86"/>
        <w:jc w:val="both"/>
      </w:pPr>
      <w:r w:rsidRPr="00B6529E">
        <w:t xml:space="preserve">In recognition of the service and sacrifices made by service-disabled veterans and in recognition of their economic activity in doing business in New York State, Bidders/Contractors are strongly encouraged and expected to consider SDVOBs in the fulfillment of the requirements of the Contract. Such participation may be as subcontractors or suppliers, as protégés, or in other partnering or supporting roles. </w:t>
      </w:r>
    </w:p>
    <w:p w14:paraId="1E294983" w14:textId="77777777" w:rsidR="003D324E" w:rsidRPr="00B6529E" w:rsidRDefault="003D324E" w:rsidP="003D324E">
      <w:pPr>
        <w:spacing w:line="240" w:lineRule="auto"/>
        <w:ind w:left="1620" w:right="86"/>
        <w:jc w:val="both"/>
      </w:pPr>
      <w:r w:rsidRPr="00B6529E">
        <w:t xml:space="preserve">For purposes of this procurement, the Department conducted a comprehensive search and determined that the Contract does not offer sufficient opportunities to set specific goals for participation by SDVOBs as </w:t>
      </w:r>
      <w:r>
        <w:t>s</w:t>
      </w:r>
      <w:r w:rsidRPr="00B6529E">
        <w:t xml:space="preserve">ubcontractors, service providers, and suppliers to Contractor.  Nevertheless, the Bidder/Contractor is encouraged to make good faith efforts to promote and assist in the participation of SDVOBs on the Contract for the provision of services and materials. The directory of New York State Certified SDVOBs can be viewed at: </w:t>
      </w:r>
      <w:hyperlink r:id="rId23" w:history="1">
        <w:r w:rsidRPr="00B6529E">
          <w:rPr>
            <w:color w:val="0000FF"/>
            <w:u w:val="single"/>
          </w:rPr>
          <w:t>https://ogs.ny.gov/veterans/</w:t>
        </w:r>
      </w:hyperlink>
      <w:r w:rsidRPr="00B6529E">
        <w:t xml:space="preserve">. </w:t>
      </w:r>
    </w:p>
    <w:p w14:paraId="30F5F38B" w14:textId="77777777" w:rsidR="003D324E" w:rsidRPr="00B6529E" w:rsidRDefault="003D324E" w:rsidP="003D324E">
      <w:pPr>
        <w:spacing w:line="240" w:lineRule="auto"/>
        <w:ind w:left="1620" w:right="86"/>
        <w:jc w:val="both"/>
      </w:pPr>
      <w:r w:rsidRPr="00B6529E">
        <w:t xml:space="preserve">The Bidder/Contractor is encouraged to contact the Office of General Services’ Division of Service-Disabled Veteran’s Business Development at 518-474-2015 or </w:t>
      </w:r>
      <w:hyperlink r:id="rId24" w:history="1">
        <w:r w:rsidRPr="00B6529E">
          <w:t>VeteransDevelopment@ogs.ny.gov</w:t>
        </w:r>
      </w:hyperlink>
      <w:r w:rsidRPr="00B6529E">
        <w:t xml:space="preserve"> to discuss methods of maximizing participation by SDVOBs on the Contract. </w:t>
      </w:r>
    </w:p>
    <w:p w14:paraId="668CE3E0" w14:textId="77777777" w:rsidR="003D324E" w:rsidRPr="003D324E" w:rsidRDefault="003D324E" w:rsidP="003D324E">
      <w:pPr>
        <w:pStyle w:val="Heading3"/>
        <w:numPr>
          <w:ilvl w:val="2"/>
          <w:numId w:val="18"/>
        </w:numPr>
        <w:tabs>
          <w:tab w:val="num" w:pos="360"/>
          <w:tab w:val="left" w:pos="720"/>
          <w:tab w:val="left" w:pos="900"/>
        </w:tabs>
        <w:spacing w:before="240" w:after="60"/>
        <w:ind w:left="1627" w:right="86" w:hanging="907"/>
        <w:jc w:val="both"/>
        <w:rPr>
          <w:rFonts w:ascii="Arial" w:eastAsia="Times New Roman" w:hAnsi="Arial" w:cs="Arial"/>
          <w:b/>
          <w:bCs/>
          <w:color w:val="000000"/>
          <w:kern w:val="0"/>
          <w:szCs w:val="22"/>
          <w:lang w:val="x-none" w:eastAsia="x-none"/>
          <w14:ligatures w14:val="none"/>
        </w:rPr>
      </w:pPr>
      <w:bookmarkStart w:id="22" w:name="_Toc146188462"/>
      <w:bookmarkStart w:id="23" w:name="_Toc157078580"/>
      <w:r w:rsidRPr="003D324E">
        <w:rPr>
          <w:rFonts w:ascii="Arial" w:eastAsia="Times New Roman" w:hAnsi="Arial" w:cs="Arial"/>
          <w:b/>
          <w:bCs/>
          <w:color w:val="000000"/>
          <w:kern w:val="0"/>
          <w:szCs w:val="22"/>
          <w:lang w:val="x-none" w:eastAsia="x-none"/>
          <w14:ligatures w14:val="none"/>
        </w:rPr>
        <w:t>Cooperation with Investigations</w:t>
      </w:r>
      <w:bookmarkEnd w:id="22"/>
      <w:bookmarkEnd w:id="23"/>
    </w:p>
    <w:p w14:paraId="629492E6" w14:textId="7B044CFF" w:rsidR="00087A2C" w:rsidRPr="00993F23" w:rsidRDefault="003D324E" w:rsidP="00B46A3E">
      <w:pPr>
        <w:spacing w:line="240" w:lineRule="auto"/>
        <w:ind w:left="1620" w:right="86"/>
        <w:jc w:val="both"/>
        <w:rPr>
          <w:rFonts w:eastAsia="Calibri"/>
          <w:b/>
          <w:bCs/>
          <w:iCs/>
        </w:rPr>
      </w:pPr>
      <w:r w:rsidRPr="007175EB">
        <w:t xml:space="preserve">In the event that the Department determines it necessary to investigate relative to a possible or actual 1) crime or 2) breach of confidentiality or security, in connection with the performance of this Agreement, Contractor and its Subcontractor(s), as applicable, shall cooperate fully with the Department and any other state or federal oversight authorities. </w:t>
      </w:r>
      <w:r w:rsidRPr="003D324E">
        <w:rPr>
          <w:rFonts w:eastAsia="Calibri"/>
          <w:strike/>
          <w:color w:val="C00000"/>
          <w:kern w:val="0"/>
          <w14:ligatures w14:val="none"/>
        </w:rPr>
        <w:t>Upo</w:t>
      </w:r>
      <w:r w:rsidRPr="00AF11BD">
        <w:rPr>
          <w:rFonts w:eastAsia="Calibri"/>
          <w:strike/>
          <w:color w:val="C00000"/>
          <w:kern w:val="0"/>
          <w14:ligatures w14:val="none"/>
        </w:rPr>
        <w:t>n</w:t>
      </w:r>
      <w:r w:rsidRPr="00AF11BD">
        <w:rPr>
          <w:strike/>
          <w:color w:val="C00000"/>
        </w:rPr>
        <w:t xml:space="preserve"> </w:t>
      </w:r>
      <w:r w:rsidRPr="003D324E">
        <w:rPr>
          <w:rFonts w:eastAsia="Calibri"/>
          <w:color w:val="2F5496" w:themeColor="accent1" w:themeShade="BF"/>
          <w:kern w:val="0"/>
          <w:u w:val="single"/>
          <w14:ligatures w14:val="none"/>
        </w:rPr>
        <w:t>Unless prohibited by law, upon</w:t>
      </w:r>
      <w:r w:rsidRPr="003D324E">
        <w:rPr>
          <w:color w:val="2F5496" w:themeColor="accent1" w:themeShade="BF"/>
          <w:u w:val="single"/>
        </w:rPr>
        <w:t xml:space="preserve"> </w:t>
      </w:r>
      <w:r w:rsidRPr="007175EB">
        <w:t xml:space="preserve">written request of the State, the Contractor and its Subcontractor(s), as applicable, shall make their respective employees and all relevant records deemed necessary by the State, including personnel records and employee photographs, available to the State for inspection and review. </w:t>
      </w:r>
      <w:r w:rsidRPr="003D324E">
        <w:rPr>
          <w:rFonts w:eastAsia="Calibri"/>
          <w:strike/>
          <w:color w:val="C00000"/>
          <w:kern w:val="0"/>
          <w14:ligatures w14:val="none"/>
        </w:rPr>
        <w:t xml:space="preserve">At the State’s sole discretion, Contractor and Subcontractor representatives may be excluded from any interview where the State determines that such attendance may present a potential or actual conflict of interest or impede an interview. </w:t>
      </w:r>
      <w:r w:rsidRPr="007175EB">
        <w:t>The State must be permitted by the Contractor or Subcontractor, as applicable, to conduct interviews and document reviews during normal business hours</w:t>
      </w:r>
      <w:r w:rsidRPr="00B6529E">
        <w:t>.</w:t>
      </w:r>
    </w:p>
    <w:sectPr w:rsidR="00087A2C" w:rsidRPr="00993F23" w:rsidSect="00804B41">
      <w:footerReference w:type="default" r:id="rId25"/>
      <w:pgSz w:w="12240" w:h="15840" w:code="1"/>
      <w:pgMar w:top="1440" w:right="1354" w:bottom="994" w:left="1440" w:header="432" w:footer="720" w:gutter="0"/>
      <w:pgNumType w:start="7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5F84" w14:textId="77777777" w:rsidR="00191914" w:rsidRDefault="00191914" w:rsidP="00191914">
      <w:pPr>
        <w:spacing w:after="0" w:line="240" w:lineRule="auto"/>
      </w:pPr>
      <w:r>
        <w:separator/>
      </w:r>
    </w:p>
  </w:endnote>
  <w:endnote w:type="continuationSeparator" w:id="0">
    <w:p w14:paraId="0527DEDE" w14:textId="77777777" w:rsidR="00191914" w:rsidRDefault="00191914" w:rsidP="0019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EndPr/>
    <w:sdtContent>
      <w:p w14:paraId="268C142A" w14:textId="77777777" w:rsidR="00713D72" w:rsidRDefault="00713D72" w:rsidP="008F712A">
        <w:pPr>
          <w:spacing w:before="200"/>
          <w:ind w:left="-630" w:hanging="90"/>
          <w:jc w:val="right"/>
        </w:pPr>
      </w:p>
      <w:tbl>
        <w:tblPr>
          <w:tblStyle w:val="TableGrid"/>
          <w:tblW w:w="10620" w:type="dxa"/>
          <w:tblInd w:w="-545" w:type="dxa"/>
          <w:tblLook w:val="04A0" w:firstRow="1" w:lastRow="0" w:firstColumn="1" w:lastColumn="0" w:noHBand="0" w:noVBand="1"/>
        </w:tblPr>
        <w:tblGrid>
          <w:gridCol w:w="10620"/>
        </w:tblGrid>
        <w:tr w:rsidR="00713D72" w14:paraId="5E5D6E23" w14:textId="77777777" w:rsidTr="002074F8">
          <w:tc>
            <w:tcPr>
              <w:tcW w:w="10620"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66EE486D" w14:textId="77777777" w:rsidR="00713D72" w:rsidRPr="00E24A82" w:rsidRDefault="00713D72" w:rsidP="00713D72">
              <w:pPr>
                <w:pStyle w:val="Footer"/>
                <w:spacing w:before="120"/>
                <w:jc w:val="center"/>
                <w:rPr>
                  <w:rFonts w:ascii="Proxima Nova Rg" w:hAnsi="Proxima Nova Rg"/>
                  <w:color w:val="646569"/>
                  <w:sz w:val="16"/>
                  <w:szCs w:val="16"/>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www.tax.ny.gov</w:t>
              </w:r>
            </w:p>
          </w:tc>
        </w:tr>
      </w:tbl>
      <w:p w14:paraId="369CE1C0" w14:textId="3E3523C3" w:rsidR="00713D72" w:rsidRDefault="007A1D78" w:rsidP="00713D72"/>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729286"/>
      <w:docPartObj>
        <w:docPartGallery w:val="Page Numbers (Top of Page)"/>
        <w:docPartUnique/>
      </w:docPartObj>
    </w:sdtPr>
    <w:sdtEndPr/>
    <w:sdtContent>
      <w:sdt>
        <w:sdtPr>
          <w:id w:val="574785441"/>
          <w:docPartObj>
            <w:docPartGallery w:val="Page Numbers (Top of Page)"/>
            <w:docPartUnique/>
          </w:docPartObj>
        </w:sdtPr>
        <w:sdtEndPr/>
        <w:sdtContent>
          <w:p w14:paraId="6CFE4B70" w14:textId="585DC614" w:rsidR="000370DF" w:rsidRDefault="00A609B7" w:rsidP="000370DF">
            <w:pPr>
              <w:spacing w:after="0" w:line="276" w:lineRule="auto"/>
              <w:jc w:val="right"/>
            </w:pPr>
            <w:r>
              <w:t xml:space="preserve">Round </w:t>
            </w:r>
            <w:r w:rsidR="008A6B1A">
              <w:t>Two</w:t>
            </w:r>
            <w:r>
              <w:t xml:space="preserve"> Questions and Answers</w:t>
            </w:r>
          </w:p>
          <w:p w14:paraId="5EF1F2DB" w14:textId="735B1F8E" w:rsidR="00713D72" w:rsidRDefault="000370DF" w:rsidP="00A609B7">
            <w:pPr>
              <w:pStyle w:val="Footer"/>
              <w:jc w:val="right"/>
            </w:pPr>
            <w:r w:rsidRPr="00CE68A0">
              <w:rPr>
                <w:color w:val="A6A6A6" w:themeColor="background1" w:themeShade="A6"/>
              </w:rPr>
              <w:t xml:space="preserve">RFP </w:t>
            </w:r>
            <w:r>
              <w:rPr>
                <w:color w:val="A6A6A6" w:themeColor="background1" w:themeShade="A6"/>
              </w:rPr>
              <w:t xml:space="preserve">23-103 Check 21 Services </w:t>
            </w:r>
            <w:r w:rsidRPr="00CE68A0">
              <w:rPr>
                <w:color w:val="A6A6A6" w:themeColor="background1" w:themeShade="A6"/>
              </w:rPr>
              <w:t xml:space="preserve">| </w:t>
            </w:r>
            <w:r w:rsidRPr="00CE68A0">
              <w:t>Page</w:t>
            </w:r>
            <w:r w:rsidRPr="009A2C7D">
              <w:t xml:space="preserve"> </w:t>
            </w:r>
            <w:sdt>
              <w:sdtPr>
                <w:id w:val="-1407291584"/>
                <w:docPartObj>
                  <w:docPartGallery w:val="Page Numbers (Bottom of Page)"/>
                  <w:docPartUnique/>
                </w:docPartObj>
              </w:sdtPr>
              <w:sdtEndPr>
                <w:rPr>
                  <w:noProof/>
                </w:rPr>
              </w:sdtEndPr>
              <w:sdtContent>
                <w:r w:rsidR="00A609B7">
                  <w:fldChar w:fldCharType="begin"/>
                </w:r>
                <w:r w:rsidR="00A609B7">
                  <w:instrText xml:space="preserve"> PAGE   \* MERGEFORMAT </w:instrText>
                </w:r>
                <w:r w:rsidR="00A609B7">
                  <w:fldChar w:fldCharType="separate"/>
                </w:r>
                <w:r w:rsidR="00A609B7">
                  <w:t>2</w:t>
                </w:r>
                <w:r w:rsidR="00A609B7">
                  <w:rPr>
                    <w:noProof/>
                  </w:rPr>
                  <w:fldChar w:fldCharType="end"/>
                </w:r>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2144"/>
      <w:docPartObj>
        <w:docPartGallery w:val="Page Numbers (Top of Page)"/>
        <w:docPartUnique/>
      </w:docPartObj>
    </w:sdtPr>
    <w:sdtEndPr/>
    <w:sdtContent>
      <w:sdt>
        <w:sdtPr>
          <w:id w:val="-1577038168"/>
          <w:docPartObj>
            <w:docPartGallery w:val="Page Numbers (Top of Page)"/>
            <w:docPartUnique/>
          </w:docPartObj>
        </w:sdtPr>
        <w:sdtEndPr/>
        <w:sdtContent>
          <w:sdt>
            <w:sdtPr>
              <w:id w:val="272824830"/>
              <w:docPartObj>
                <w:docPartGallery w:val="Page Numbers (Top of Page)"/>
                <w:docPartUnique/>
              </w:docPartObj>
            </w:sdtPr>
            <w:sdtEndPr/>
            <w:sdtContent>
              <w:p w14:paraId="02F3B57B" w14:textId="77777777" w:rsidR="00C60ECA" w:rsidRDefault="00C60ECA" w:rsidP="001C31A4">
                <w:pPr>
                  <w:spacing w:after="0" w:line="276" w:lineRule="auto"/>
                  <w:ind w:right="-810"/>
                  <w:jc w:val="right"/>
                </w:pPr>
                <w:r>
                  <w:t>AMENDMENT #2</w:t>
                </w:r>
              </w:p>
              <w:p w14:paraId="57CB0E3F" w14:textId="785053DF" w:rsidR="00C60ECA" w:rsidRDefault="00C60ECA" w:rsidP="001C31A4">
                <w:pPr>
                  <w:pStyle w:val="Footer"/>
                  <w:ind w:right="-810"/>
                  <w:jc w:val="right"/>
                </w:pPr>
                <w:r w:rsidRPr="00CE68A0">
                  <w:rPr>
                    <w:color w:val="A6A6A6" w:themeColor="background1" w:themeShade="A6"/>
                  </w:rPr>
                  <w:t xml:space="preserve">RFP </w:t>
                </w:r>
                <w:r>
                  <w:rPr>
                    <w:color w:val="A6A6A6" w:themeColor="background1" w:themeShade="A6"/>
                  </w:rPr>
                  <w:t xml:space="preserve">23-103 Check 21 Services </w:t>
                </w:r>
                <w:r w:rsidRPr="00CE68A0">
                  <w:rPr>
                    <w:color w:val="A6A6A6" w:themeColor="background1" w:themeShade="A6"/>
                  </w:rPr>
                  <w:t xml:space="preserve">| </w:t>
                </w:r>
                <w:r w:rsidRPr="00CE68A0">
                  <w:t>Page</w:t>
                </w:r>
                <w:r w:rsidRPr="009A2C7D">
                  <w:t xml:space="preserve"> </w:t>
                </w:r>
                <w:sdt>
                  <w:sdtPr>
                    <w:id w:val="-461962655"/>
                    <w:docPartObj>
                      <w:docPartGallery w:val="Page Numbers (Bottom of Page)"/>
                      <w:docPartUnique/>
                    </w:docPartObj>
                  </w:sdtPr>
                  <w:sdtEndPr>
                    <w:rPr>
                      <w:noProof/>
                    </w:rPr>
                  </w:sdtEndPr>
                  <w:sdtContent>
                    <w:r w:rsidR="002023A6" w:rsidRPr="002023A6">
                      <w:rPr>
                        <w:b/>
                        <w:bCs/>
                      </w:rPr>
                      <w:fldChar w:fldCharType="begin"/>
                    </w:r>
                    <w:r w:rsidR="002023A6" w:rsidRPr="002023A6">
                      <w:rPr>
                        <w:b/>
                        <w:bCs/>
                      </w:rPr>
                      <w:instrText xml:space="preserve"> PAGE   \* MERGEFORMAT </w:instrText>
                    </w:r>
                    <w:r w:rsidR="002023A6" w:rsidRPr="002023A6">
                      <w:rPr>
                        <w:b/>
                        <w:bCs/>
                      </w:rPr>
                      <w:fldChar w:fldCharType="separate"/>
                    </w:r>
                    <w:r w:rsidR="002023A6" w:rsidRPr="002023A6">
                      <w:rPr>
                        <w:b/>
                        <w:bCs/>
                      </w:rPr>
                      <w:t>2</w:t>
                    </w:r>
                    <w:r w:rsidR="002023A6" w:rsidRPr="002023A6">
                      <w:rPr>
                        <w:b/>
                        <w:bCs/>
                        <w:noProof/>
                      </w:rPr>
                      <w:fldChar w:fldCharType="end"/>
                    </w:r>
                  </w:sdtContent>
                </w:sdt>
              </w:p>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685035"/>
      <w:docPartObj>
        <w:docPartGallery w:val="Page Numbers (Top of Page)"/>
        <w:docPartUnique/>
      </w:docPartObj>
    </w:sdtPr>
    <w:sdtEndPr/>
    <w:sdtContent>
      <w:sdt>
        <w:sdtPr>
          <w:id w:val="-1952083250"/>
          <w:docPartObj>
            <w:docPartGallery w:val="Page Numbers (Top of Page)"/>
            <w:docPartUnique/>
          </w:docPartObj>
        </w:sdtPr>
        <w:sdtEndPr/>
        <w:sdtContent>
          <w:p w14:paraId="2D074A19" w14:textId="00C8459F" w:rsidR="00A609B7" w:rsidRDefault="00A609B7" w:rsidP="000370DF">
            <w:pPr>
              <w:spacing w:after="0" w:line="276" w:lineRule="auto"/>
              <w:jc w:val="right"/>
            </w:pPr>
            <w:r>
              <w:t>AMENDMENT #</w:t>
            </w:r>
            <w:r w:rsidR="006312F0">
              <w:t>2</w:t>
            </w:r>
          </w:p>
          <w:p w14:paraId="0BB261C0" w14:textId="79891F89" w:rsidR="00A609B7" w:rsidRDefault="00A609B7" w:rsidP="00087A2C">
            <w:pPr>
              <w:spacing w:after="0" w:line="276" w:lineRule="auto"/>
              <w:jc w:val="right"/>
            </w:pPr>
            <w:r w:rsidRPr="00CE68A0">
              <w:rPr>
                <w:color w:val="A6A6A6" w:themeColor="background1" w:themeShade="A6"/>
              </w:rPr>
              <w:t xml:space="preserve">RFP </w:t>
            </w:r>
            <w:r>
              <w:rPr>
                <w:color w:val="A6A6A6" w:themeColor="background1" w:themeShade="A6"/>
              </w:rPr>
              <w:t xml:space="preserve">23-103 Check 21 Services </w:t>
            </w:r>
            <w:r w:rsidRPr="00CE68A0">
              <w:rPr>
                <w:color w:val="A6A6A6" w:themeColor="background1" w:themeShade="A6"/>
              </w:rPr>
              <w:t xml:space="preserve">| </w:t>
            </w:r>
            <w:r w:rsidRPr="00CE68A0">
              <w:t>Page</w:t>
            </w:r>
            <w:r w:rsidRPr="009A2C7D">
              <w:t xml:space="preserve"> </w:t>
            </w:r>
            <w:r w:rsidR="006312F0">
              <w:rPr>
                <w:b/>
                <w:bCs/>
                <w:sz w:val="24"/>
                <w:szCs w:val="24"/>
              </w:rPr>
              <w:t>45</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69624"/>
      <w:docPartObj>
        <w:docPartGallery w:val="Page Numbers (Top of Page)"/>
        <w:docPartUnique/>
      </w:docPartObj>
    </w:sdtPr>
    <w:sdtEndPr/>
    <w:sdtContent>
      <w:sdt>
        <w:sdtPr>
          <w:id w:val="-1988616410"/>
          <w:docPartObj>
            <w:docPartGallery w:val="Page Numbers (Top of Page)"/>
            <w:docPartUnique/>
          </w:docPartObj>
        </w:sdtPr>
        <w:sdtEndPr/>
        <w:sdtContent>
          <w:p w14:paraId="1D9DEAB9" w14:textId="77777777" w:rsidR="003D324E" w:rsidRDefault="003D324E" w:rsidP="000370DF">
            <w:pPr>
              <w:spacing w:after="0" w:line="276" w:lineRule="auto"/>
              <w:jc w:val="right"/>
            </w:pPr>
            <w:r>
              <w:t>AMENDMENT #2</w:t>
            </w:r>
          </w:p>
          <w:p w14:paraId="4E426D1C" w14:textId="494769D2" w:rsidR="003D324E" w:rsidRDefault="003D324E" w:rsidP="00087A2C">
            <w:pPr>
              <w:spacing w:after="0" w:line="276" w:lineRule="auto"/>
              <w:jc w:val="right"/>
            </w:pPr>
            <w:r w:rsidRPr="00CE68A0">
              <w:rPr>
                <w:color w:val="A6A6A6" w:themeColor="background1" w:themeShade="A6"/>
              </w:rPr>
              <w:t xml:space="preserve">RFP </w:t>
            </w:r>
            <w:r>
              <w:rPr>
                <w:color w:val="A6A6A6" w:themeColor="background1" w:themeShade="A6"/>
              </w:rPr>
              <w:t xml:space="preserve">23-103 Check 21 Services </w:t>
            </w:r>
            <w:r w:rsidRPr="00CE68A0">
              <w:rPr>
                <w:color w:val="A6A6A6" w:themeColor="background1" w:themeShade="A6"/>
              </w:rPr>
              <w:t xml:space="preserve">| </w:t>
            </w:r>
            <w:r w:rsidRPr="00CE68A0">
              <w:t>Page</w:t>
            </w:r>
            <w:r w:rsidRPr="009A2C7D">
              <w:t xml:space="preserve"> </w:t>
            </w:r>
            <w:r>
              <w:rPr>
                <w:b/>
                <w:bCs/>
                <w:sz w:val="24"/>
                <w:szCs w:val="24"/>
              </w:rPr>
              <w:t>66</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D08B" w14:textId="77777777" w:rsidR="00191914" w:rsidRDefault="00191914" w:rsidP="00191914">
      <w:pPr>
        <w:spacing w:after="0" w:line="240" w:lineRule="auto"/>
      </w:pPr>
      <w:r>
        <w:separator/>
      </w:r>
    </w:p>
  </w:footnote>
  <w:footnote w:type="continuationSeparator" w:id="0">
    <w:p w14:paraId="18888FD1" w14:textId="77777777" w:rsidR="00191914" w:rsidRDefault="00191914" w:rsidP="00191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6B7F" w14:textId="6047BC41" w:rsidR="00191914" w:rsidRPr="00191914" w:rsidRDefault="00191914" w:rsidP="00713D72">
    <w:pPr>
      <w:pStyle w:val="Header"/>
      <w:tabs>
        <w:tab w:val="clear" w:pos="4680"/>
        <w:tab w:val="clear" w:pos="9360"/>
      </w:tabs>
      <w:ind w:firstLine="1260"/>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5E6C" w14:textId="77777777" w:rsidR="00A609B7" w:rsidRPr="002721C1" w:rsidRDefault="00A609B7" w:rsidP="00A609B7">
    <w:pPr>
      <w:spacing w:after="0" w:line="240" w:lineRule="auto"/>
      <w:jc w:val="center"/>
    </w:pPr>
    <w:r w:rsidRPr="002721C1">
      <w:t>New York State Department of Taxation and Finance</w:t>
    </w:r>
  </w:p>
  <w:p w14:paraId="43CD4879" w14:textId="77777777" w:rsidR="00A609B7" w:rsidRPr="002721C1" w:rsidRDefault="00A609B7" w:rsidP="00A609B7">
    <w:pPr>
      <w:spacing w:after="0" w:line="240" w:lineRule="auto"/>
      <w:jc w:val="center"/>
    </w:pPr>
    <w:r w:rsidRPr="002721C1">
      <w:t xml:space="preserve">Request for Proposals (RFP) </w:t>
    </w:r>
    <w:r>
      <w:t>23-103</w:t>
    </w:r>
  </w:p>
  <w:p w14:paraId="296BF025" w14:textId="635E1DD2" w:rsidR="00713D72" w:rsidRPr="00A609B7" w:rsidRDefault="00A609B7" w:rsidP="00A609B7">
    <w:pPr>
      <w:spacing w:line="240" w:lineRule="auto"/>
      <w:jc w:val="center"/>
    </w:pPr>
    <w:r>
      <w:rPr>
        <w:u w:color="000080"/>
      </w:rPr>
      <w:t>Check 21</w:t>
    </w:r>
    <w:r w:rsidRPr="001B289E">
      <w:rPr>
        <w:u w:color="000080"/>
      </w:rPr>
      <w:t xml:space="preserve">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CA73" w14:textId="2060B6B0" w:rsidR="000370DF" w:rsidRPr="002721C1" w:rsidRDefault="000370DF" w:rsidP="000370DF">
    <w:pPr>
      <w:spacing w:after="0" w:line="240" w:lineRule="auto"/>
      <w:jc w:val="center"/>
    </w:pPr>
    <w:bookmarkStart w:id="8" w:name="_Hlk112327393"/>
    <w:bookmarkStart w:id="9" w:name="_Hlk112327394"/>
    <w:bookmarkStart w:id="10" w:name="_Hlk112327395"/>
    <w:bookmarkStart w:id="11" w:name="_Hlk112327396"/>
    <w:r w:rsidRPr="000370DF">
      <w:t xml:space="preserve"> </w:t>
    </w:r>
    <w:r w:rsidRPr="002721C1">
      <w:t>New York State Department of Taxation and Finance</w:t>
    </w:r>
  </w:p>
  <w:p w14:paraId="7A186B06" w14:textId="77777777" w:rsidR="000370DF" w:rsidRPr="002721C1" w:rsidRDefault="000370DF" w:rsidP="000370DF">
    <w:pPr>
      <w:spacing w:after="0" w:line="240" w:lineRule="auto"/>
      <w:jc w:val="center"/>
    </w:pPr>
    <w:r w:rsidRPr="002721C1">
      <w:t xml:space="preserve">Request for Proposals (RFP) </w:t>
    </w:r>
    <w:r>
      <w:t>23-103</w:t>
    </w:r>
  </w:p>
  <w:p w14:paraId="269CB04D" w14:textId="6B9885AD" w:rsidR="000370DF" w:rsidRPr="000370DF" w:rsidRDefault="000370DF" w:rsidP="000370DF">
    <w:pPr>
      <w:spacing w:line="240" w:lineRule="auto"/>
      <w:jc w:val="center"/>
    </w:pPr>
    <w:r>
      <w:rPr>
        <w:u w:color="000080"/>
      </w:rPr>
      <w:t>Check 21</w:t>
    </w:r>
    <w:r w:rsidRPr="001B289E">
      <w:rPr>
        <w:u w:color="000080"/>
      </w:rPr>
      <w:t xml:space="preserve"> Services</w:t>
    </w:r>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4BF"/>
    <w:multiLevelType w:val="hybridMultilevel"/>
    <w:tmpl w:val="85B29216"/>
    <w:lvl w:ilvl="0" w:tplc="CB60A11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7810F6A"/>
    <w:multiLevelType w:val="multilevel"/>
    <w:tmpl w:val="0268C0B4"/>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0071C1"/>
    <w:multiLevelType w:val="hybridMultilevel"/>
    <w:tmpl w:val="49A25A4C"/>
    <w:lvl w:ilvl="0" w:tplc="AE2E9994">
      <w:start w:val="1"/>
      <w:numFmt w:val="decimal"/>
      <w:lvlText w:val="%1."/>
      <w:lvlJc w:val="left"/>
      <w:pPr>
        <w:tabs>
          <w:tab w:val="num" w:pos="360"/>
        </w:tabs>
        <w:ind w:left="360" w:hanging="360"/>
      </w:pPr>
      <w:rPr>
        <w:b/>
      </w:rPr>
    </w:lvl>
    <w:lvl w:ilvl="1" w:tplc="0409001B">
      <w:start w:val="1"/>
      <w:numFmt w:val="lowerRoman"/>
      <w:lvlText w:val="%2."/>
      <w:lvlJc w:val="right"/>
      <w:pPr>
        <w:tabs>
          <w:tab w:val="num" w:pos="810"/>
        </w:tabs>
        <w:ind w:left="810" w:hanging="360"/>
      </w:pPr>
      <w:rPr>
        <w:b/>
        <w:i w:val="0"/>
        <w:color w:val="auto"/>
        <w:sz w:val="2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C58357F"/>
    <w:multiLevelType w:val="hybridMultilevel"/>
    <w:tmpl w:val="30D0FFAC"/>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 w15:restartNumberingAfterBreak="0">
    <w:nsid w:val="1E607802"/>
    <w:multiLevelType w:val="hybridMultilevel"/>
    <w:tmpl w:val="0CFC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5585D"/>
    <w:multiLevelType w:val="hybridMultilevel"/>
    <w:tmpl w:val="08A64896"/>
    <w:lvl w:ilvl="0" w:tplc="1494E63A">
      <w:start w:val="1"/>
      <w:numFmt w:val="bullet"/>
      <w:lvlText w:val=""/>
      <w:lvlJc w:val="left"/>
      <w:pPr>
        <w:ind w:left="784" w:hanging="360"/>
      </w:pPr>
      <w:rPr>
        <w:rFonts w:ascii="Symbol" w:hAnsi="Symbol" w:hint="default"/>
        <w:color w:val="auto"/>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15:restartNumberingAfterBreak="0">
    <w:nsid w:val="2AD727F8"/>
    <w:multiLevelType w:val="multilevel"/>
    <w:tmpl w:val="316437D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4239BB"/>
    <w:multiLevelType w:val="hybridMultilevel"/>
    <w:tmpl w:val="D436ABE4"/>
    <w:lvl w:ilvl="0" w:tplc="104ECDE0">
      <w:start w:val="1"/>
      <w:numFmt w:val="decimal"/>
      <w:lvlText w:val="%1."/>
      <w:lvlJc w:val="left"/>
      <w:pPr>
        <w:tabs>
          <w:tab w:val="num" w:pos="792"/>
        </w:tabs>
        <w:ind w:left="792" w:hanging="432"/>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EF40AAF"/>
    <w:multiLevelType w:val="hybridMultilevel"/>
    <w:tmpl w:val="7C94A18E"/>
    <w:lvl w:ilvl="0" w:tplc="5AB8AAB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74CFC"/>
    <w:multiLevelType w:val="hybridMultilevel"/>
    <w:tmpl w:val="D638A388"/>
    <w:lvl w:ilvl="0" w:tplc="39363FDE">
      <w:start w:val="1"/>
      <w:numFmt w:val="decimal"/>
      <w:lvlText w:val="%1."/>
      <w:lvlJc w:val="left"/>
      <w:pPr>
        <w:tabs>
          <w:tab w:val="num" w:pos="792"/>
        </w:tabs>
        <w:ind w:left="792" w:hanging="432"/>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4B13AAF"/>
    <w:multiLevelType w:val="hybridMultilevel"/>
    <w:tmpl w:val="FE967C12"/>
    <w:lvl w:ilvl="0" w:tplc="4E50CCF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3A5043FC"/>
    <w:multiLevelType w:val="multilevel"/>
    <w:tmpl w:val="32CC3ED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b/>
        <w:bCs/>
        <w:i w:val="0"/>
        <w:iCs w:val="0"/>
      </w:rPr>
    </w:lvl>
    <w:lvl w:ilvl="3">
      <w:start w:val="1"/>
      <w:numFmt w:val="decimal"/>
      <w:lvlText w:val="%1.%2.%3.%4."/>
      <w:lvlJc w:val="left"/>
      <w:pPr>
        <w:ind w:left="1728" w:hanging="648"/>
      </w:pPr>
      <w:rPr>
        <w:rFonts w:hint="default"/>
        <w:b/>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293513"/>
    <w:multiLevelType w:val="hybridMultilevel"/>
    <w:tmpl w:val="7A0A312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40663AF2"/>
    <w:multiLevelType w:val="hybridMultilevel"/>
    <w:tmpl w:val="3DC89CF2"/>
    <w:lvl w:ilvl="0" w:tplc="04090001">
      <w:start w:val="1"/>
      <w:numFmt w:val="bullet"/>
      <w:lvlText w:val=""/>
      <w:lvlJc w:val="left"/>
      <w:pPr>
        <w:ind w:left="1509" w:hanging="360"/>
      </w:pPr>
      <w:rPr>
        <w:rFonts w:ascii="Symbol" w:hAnsi="Symbol" w:hint="default"/>
      </w:rPr>
    </w:lvl>
    <w:lvl w:ilvl="1" w:tplc="04090003">
      <w:start w:val="1"/>
      <w:numFmt w:val="bullet"/>
      <w:lvlText w:val="o"/>
      <w:lvlJc w:val="left"/>
      <w:pPr>
        <w:ind w:left="2229" w:hanging="360"/>
      </w:pPr>
      <w:rPr>
        <w:rFonts w:ascii="Courier New" w:hAnsi="Courier New" w:cs="Courier New" w:hint="default"/>
      </w:rPr>
    </w:lvl>
    <w:lvl w:ilvl="2" w:tplc="04090005">
      <w:start w:val="1"/>
      <w:numFmt w:val="bullet"/>
      <w:lvlText w:val=""/>
      <w:lvlJc w:val="left"/>
      <w:pPr>
        <w:ind w:left="2949" w:hanging="360"/>
      </w:pPr>
      <w:rPr>
        <w:rFonts w:ascii="Wingdings" w:hAnsi="Wingdings" w:hint="default"/>
      </w:rPr>
    </w:lvl>
    <w:lvl w:ilvl="3" w:tplc="04090001">
      <w:start w:val="1"/>
      <w:numFmt w:val="bullet"/>
      <w:lvlText w:val=""/>
      <w:lvlJc w:val="left"/>
      <w:pPr>
        <w:ind w:left="3669" w:hanging="360"/>
      </w:pPr>
      <w:rPr>
        <w:rFonts w:ascii="Symbol" w:hAnsi="Symbol" w:hint="default"/>
      </w:rPr>
    </w:lvl>
    <w:lvl w:ilvl="4" w:tplc="04090003">
      <w:start w:val="1"/>
      <w:numFmt w:val="bullet"/>
      <w:lvlText w:val="o"/>
      <w:lvlJc w:val="left"/>
      <w:pPr>
        <w:ind w:left="4389" w:hanging="360"/>
      </w:pPr>
      <w:rPr>
        <w:rFonts w:ascii="Courier New" w:hAnsi="Courier New" w:cs="Courier New" w:hint="default"/>
      </w:rPr>
    </w:lvl>
    <w:lvl w:ilvl="5" w:tplc="04090005">
      <w:start w:val="1"/>
      <w:numFmt w:val="bullet"/>
      <w:lvlText w:val=""/>
      <w:lvlJc w:val="left"/>
      <w:pPr>
        <w:ind w:left="5109" w:hanging="360"/>
      </w:pPr>
      <w:rPr>
        <w:rFonts w:ascii="Wingdings" w:hAnsi="Wingdings" w:hint="default"/>
      </w:rPr>
    </w:lvl>
    <w:lvl w:ilvl="6" w:tplc="04090001">
      <w:start w:val="1"/>
      <w:numFmt w:val="bullet"/>
      <w:lvlText w:val=""/>
      <w:lvlJc w:val="left"/>
      <w:pPr>
        <w:ind w:left="5829" w:hanging="360"/>
      </w:pPr>
      <w:rPr>
        <w:rFonts w:ascii="Symbol" w:hAnsi="Symbol" w:hint="default"/>
      </w:rPr>
    </w:lvl>
    <w:lvl w:ilvl="7" w:tplc="04090003">
      <w:start w:val="1"/>
      <w:numFmt w:val="bullet"/>
      <w:lvlText w:val="o"/>
      <w:lvlJc w:val="left"/>
      <w:pPr>
        <w:ind w:left="6549" w:hanging="360"/>
      </w:pPr>
      <w:rPr>
        <w:rFonts w:ascii="Courier New" w:hAnsi="Courier New" w:cs="Courier New" w:hint="default"/>
      </w:rPr>
    </w:lvl>
    <w:lvl w:ilvl="8" w:tplc="04090005">
      <w:start w:val="1"/>
      <w:numFmt w:val="bullet"/>
      <w:lvlText w:val=""/>
      <w:lvlJc w:val="left"/>
      <w:pPr>
        <w:ind w:left="7269" w:hanging="360"/>
      </w:pPr>
      <w:rPr>
        <w:rFonts w:ascii="Wingdings" w:hAnsi="Wingdings" w:hint="default"/>
      </w:rPr>
    </w:lvl>
  </w:abstractNum>
  <w:abstractNum w:abstractNumId="14" w15:restartNumberingAfterBreak="0">
    <w:nsid w:val="43D21396"/>
    <w:multiLevelType w:val="multilevel"/>
    <w:tmpl w:val="4D284684"/>
    <w:lvl w:ilvl="0">
      <w:start w:val="3"/>
      <w:numFmt w:val="decimal"/>
      <w:lvlText w:val="%1."/>
      <w:lvlJc w:val="left"/>
      <w:pPr>
        <w:ind w:left="360" w:hanging="360"/>
      </w:pPr>
      <w:rPr>
        <w:rFonts w:hint="default"/>
        <w:b/>
        <w:bCs w:val="0"/>
        <w:i w:val="0"/>
        <w:iCs w:val="0"/>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645611D"/>
    <w:multiLevelType w:val="hybridMultilevel"/>
    <w:tmpl w:val="24DA2DD8"/>
    <w:lvl w:ilvl="0" w:tplc="9884A0C8">
      <w:start w:val="1"/>
      <w:numFmt w:val="decimal"/>
      <w:lvlText w:val="%1."/>
      <w:lvlJc w:val="left"/>
      <w:pPr>
        <w:tabs>
          <w:tab w:val="num" w:pos="1440"/>
        </w:tabs>
        <w:ind w:left="1440" w:hanging="360"/>
      </w:pPr>
      <w:rPr>
        <w:b/>
      </w:rPr>
    </w:lvl>
    <w:lvl w:ilvl="1" w:tplc="04090001">
      <w:start w:val="1"/>
      <w:numFmt w:val="bullet"/>
      <w:lvlText w:val=""/>
      <w:lvlJc w:val="left"/>
      <w:pPr>
        <w:tabs>
          <w:tab w:val="num" w:pos="2160"/>
        </w:tabs>
        <w:ind w:left="2160" w:hanging="360"/>
      </w:pPr>
      <w:rPr>
        <w:rFonts w:ascii="Symbol" w:hAnsi="Symbol" w:hint="default"/>
      </w:rPr>
    </w:lvl>
    <w:lvl w:ilvl="2" w:tplc="B0BCC668">
      <w:start w:val="1"/>
      <w:numFmt w:val="bullet"/>
      <w:lvlText w:val=""/>
      <w:lvlJc w:val="left"/>
      <w:pPr>
        <w:tabs>
          <w:tab w:val="num" w:pos="2880"/>
        </w:tabs>
        <w:ind w:left="2880" w:hanging="360"/>
      </w:pPr>
      <w:rPr>
        <w:rFonts w:ascii="Wingdings" w:hAnsi="Wingdings" w:hint="default"/>
      </w:rPr>
    </w:lvl>
    <w:lvl w:ilvl="3" w:tplc="3C72472E">
      <w:start w:val="1"/>
      <w:numFmt w:val="bullet"/>
      <w:lvlText w:val=""/>
      <w:lvlJc w:val="left"/>
      <w:pPr>
        <w:tabs>
          <w:tab w:val="num" w:pos="3600"/>
        </w:tabs>
        <w:ind w:left="3600" w:hanging="360"/>
      </w:pPr>
      <w:rPr>
        <w:rFonts w:ascii="Symbol" w:hAnsi="Symbol" w:hint="default"/>
      </w:rPr>
    </w:lvl>
    <w:lvl w:ilvl="4" w:tplc="12743A1E">
      <w:start w:val="1"/>
      <w:numFmt w:val="bullet"/>
      <w:lvlText w:val="o"/>
      <w:lvlJc w:val="left"/>
      <w:pPr>
        <w:tabs>
          <w:tab w:val="num" w:pos="4320"/>
        </w:tabs>
        <w:ind w:left="4320" w:hanging="360"/>
      </w:pPr>
      <w:rPr>
        <w:rFonts w:ascii="Courier New" w:hAnsi="Courier New" w:cs="Courier New" w:hint="default"/>
      </w:rPr>
    </w:lvl>
    <w:lvl w:ilvl="5" w:tplc="E2E2821E">
      <w:start w:val="1"/>
      <w:numFmt w:val="bullet"/>
      <w:lvlText w:val=""/>
      <w:lvlJc w:val="left"/>
      <w:pPr>
        <w:tabs>
          <w:tab w:val="num" w:pos="5040"/>
        </w:tabs>
        <w:ind w:left="5040" w:hanging="360"/>
      </w:pPr>
      <w:rPr>
        <w:rFonts w:ascii="Wingdings" w:hAnsi="Wingdings" w:hint="default"/>
      </w:rPr>
    </w:lvl>
    <w:lvl w:ilvl="6" w:tplc="3D787BDA">
      <w:start w:val="1"/>
      <w:numFmt w:val="bullet"/>
      <w:lvlText w:val=""/>
      <w:lvlJc w:val="left"/>
      <w:pPr>
        <w:tabs>
          <w:tab w:val="num" w:pos="5760"/>
        </w:tabs>
        <w:ind w:left="5760" w:hanging="360"/>
      </w:pPr>
      <w:rPr>
        <w:rFonts w:ascii="Symbol" w:hAnsi="Symbol" w:hint="default"/>
      </w:rPr>
    </w:lvl>
    <w:lvl w:ilvl="7" w:tplc="DAB4CFF2">
      <w:start w:val="1"/>
      <w:numFmt w:val="bullet"/>
      <w:lvlText w:val="o"/>
      <w:lvlJc w:val="left"/>
      <w:pPr>
        <w:tabs>
          <w:tab w:val="num" w:pos="6480"/>
        </w:tabs>
        <w:ind w:left="6480" w:hanging="360"/>
      </w:pPr>
      <w:rPr>
        <w:rFonts w:ascii="Courier New" w:hAnsi="Courier New" w:cs="Courier New" w:hint="default"/>
      </w:rPr>
    </w:lvl>
    <w:lvl w:ilvl="8" w:tplc="1FFE9ED2">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9542D97"/>
    <w:multiLevelType w:val="hybridMultilevel"/>
    <w:tmpl w:val="72C0A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695620"/>
    <w:multiLevelType w:val="multilevel"/>
    <w:tmpl w:val="E27C2E2A"/>
    <w:lvl w:ilvl="0">
      <w:start w:val="1"/>
      <w:numFmt w:val="decimal"/>
      <w:lvlText w:val="%1."/>
      <w:lvlJc w:val="left"/>
      <w:pPr>
        <w:tabs>
          <w:tab w:val="num" w:pos="1080"/>
        </w:tabs>
        <w:ind w:left="0" w:firstLine="0"/>
      </w:pPr>
      <w:rPr>
        <w:rFonts w:ascii="Arial Bold" w:hAnsi="Arial Bold" w:hint="default"/>
        <w:b/>
        <w:i w:val="0"/>
        <w:color w:val="auto"/>
        <w:sz w:val="20"/>
        <w:szCs w:val="20"/>
      </w:rPr>
    </w:lvl>
    <w:lvl w:ilvl="1">
      <w:start w:val="1"/>
      <w:numFmt w:val="upperLetter"/>
      <w:lvlText w:val="%2."/>
      <w:lvlJc w:val="left"/>
      <w:pPr>
        <w:tabs>
          <w:tab w:val="num" w:pos="1080"/>
        </w:tabs>
        <w:ind w:left="1080" w:hanging="720"/>
      </w:pPr>
      <w:rPr>
        <w:rFonts w:ascii="Arial Bold" w:hAnsi="Arial Bold" w:hint="default"/>
        <w:b/>
        <w:i w:val="0"/>
        <w:color w:val="auto"/>
        <w:sz w:val="20"/>
        <w:szCs w:val="20"/>
      </w:rPr>
    </w:lvl>
    <w:lvl w:ilvl="2">
      <w:start w:val="1"/>
      <w:numFmt w:val="lowerRoman"/>
      <w:lvlText w:val="%3."/>
      <w:lvlJc w:val="left"/>
      <w:pPr>
        <w:tabs>
          <w:tab w:val="num" w:pos="1800"/>
        </w:tabs>
        <w:ind w:left="1800" w:hanging="1080"/>
      </w:pPr>
      <w:rPr>
        <w:rFonts w:ascii="Arial Bold" w:hAnsi="Arial Bold" w:hint="default"/>
        <w:b/>
        <w:i w:val="0"/>
        <w:color w:val="auto"/>
        <w:sz w:val="24"/>
        <w:szCs w:val="24"/>
      </w:rPr>
    </w:lvl>
    <w:lvl w:ilvl="3">
      <w:start w:val="1"/>
      <w:numFmt w:val="lowerLetter"/>
      <w:lvlText w:val="%4)"/>
      <w:lvlJc w:val="right"/>
      <w:pPr>
        <w:tabs>
          <w:tab w:val="num" w:pos="2880"/>
        </w:tabs>
        <w:ind w:left="2880" w:hanging="1080"/>
      </w:pPr>
      <w:rPr>
        <w:rFonts w:ascii="Arial Bold" w:hAnsi="Arial Bold" w:hint="default"/>
        <w:b/>
        <w:i w:val="0"/>
        <w:color w:val="auto"/>
        <w:sz w:val="24"/>
        <w:szCs w:val="28"/>
      </w:rPr>
    </w:lvl>
    <w:lvl w:ilvl="4">
      <w:start w:val="1"/>
      <w:numFmt w:val="bullet"/>
      <w:lvlText w:val=""/>
      <w:lvlJc w:val="left"/>
      <w:pPr>
        <w:tabs>
          <w:tab w:val="num" w:pos="3240"/>
        </w:tabs>
        <w:ind w:left="3240" w:hanging="720"/>
      </w:pPr>
      <w:rPr>
        <w:rFonts w:ascii="Symbol" w:hAnsi="Symbol" w:hint="default"/>
        <w:b w:val="0"/>
        <w:i w:val="0"/>
        <w:color w:val="000080"/>
        <w:sz w:val="24"/>
      </w:rPr>
    </w:lvl>
    <w:lvl w:ilvl="5">
      <w:start w:val="1"/>
      <w:numFmt w:val="decimal"/>
      <w:lvlText w:val="%1.%2.%3.%4.%5.%6."/>
      <w:lvlJc w:val="left"/>
      <w:pPr>
        <w:tabs>
          <w:tab w:val="num" w:pos="5040"/>
        </w:tabs>
        <w:ind w:left="3456" w:hanging="936"/>
      </w:pPr>
    </w:lvl>
    <w:lvl w:ilvl="6">
      <w:start w:val="1"/>
      <w:numFmt w:val="decimal"/>
      <w:lvlText w:val="%1.%2.%3.%4.%5.%6.%7."/>
      <w:lvlJc w:val="left"/>
      <w:pPr>
        <w:tabs>
          <w:tab w:val="num" w:pos="5760"/>
        </w:tabs>
        <w:ind w:left="3960" w:hanging="1080"/>
      </w:pPr>
    </w:lvl>
    <w:lvl w:ilvl="7">
      <w:start w:val="1"/>
      <w:numFmt w:val="decimal"/>
      <w:lvlText w:val="%1.%2.%3.%4.%5.%6.%7.%8."/>
      <w:lvlJc w:val="left"/>
      <w:pPr>
        <w:tabs>
          <w:tab w:val="num" w:pos="6480"/>
        </w:tabs>
        <w:ind w:left="4464" w:hanging="1224"/>
      </w:pPr>
    </w:lvl>
    <w:lvl w:ilvl="8">
      <w:start w:val="1"/>
      <w:numFmt w:val="decimal"/>
      <w:lvlText w:val="%1.%2.%3.%4.%5.%6.%7.%8.%9."/>
      <w:lvlJc w:val="left"/>
      <w:pPr>
        <w:tabs>
          <w:tab w:val="num" w:pos="7200"/>
        </w:tabs>
        <w:ind w:left="5040" w:hanging="1440"/>
      </w:pPr>
    </w:lvl>
  </w:abstractNum>
  <w:abstractNum w:abstractNumId="18" w15:restartNumberingAfterBreak="0">
    <w:nsid w:val="63574D65"/>
    <w:multiLevelType w:val="hybridMultilevel"/>
    <w:tmpl w:val="4DA64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F161FB"/>
    <w:multiLevelType w:val="hybridMultilevel"/>
    <w:tmpl w:val="C09EE426"/>
    <w:lvl w:ilvl="0" w:tplc="418AA73E">
      <w:start w:val="1"/>
      <w:numFmt w:val="decimal"/>
      <w:lvlText w:val="%1."/>
      <w:lvlJc w:val="left"/>
      <w:pPr>
        <w:ind w:left="360" w:hanging="360"/>
      </w:pPr>
      <w:rPr>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6BE50B7F"/>
    <w:multiLevelType w:val="hybridMultilevel"/>
    <w:tmpl w:val="64348E8A"/>
    <w:lvl w:ilvl="0" w:tplc="307AFD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A708B3"/>
    <w:multiLevelType w:val="hybridMultilevel"/>
    <w:tmpl w:val="F8C43E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0D3174C"/>
    <w:multiLevelType w:val="hybridMultilevel"/>
    <w:tmpl w:val="88A25094"/>
    <w:lvl w:ilvl="0" w:tplc="C1903714">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3" w15:restartNumberingAfterBreak="0">
    <w:nsid w:val="767E19D8"/>
    <w:multiLevelType w:val="hybridMultilevel"/>
    <w:tmpl w:val="4F52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3C1D59"/>
    <w:multiLevelType w:val="hybridMultilevel"/>
    <w:tmpl w:val="338CF8C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349988953">
    <w:abstractNumId w:val="16"/>
  </w:num>
  <w:num w:numId="2" w16cid:durableId="956570961">
    <w:abstractNumId w:val="1"/>
  </w:num>
  <w:num w:numId="3" w16cid:durableId="1749689962">
    <w:abstractNumId w:val="24"/>
  </w:num>
  <w:num w:numId="4" w16cid:durableId="1911768623">
    <w:abstractNumId w:val="14"/>
  </w:num>
  <w:num w:numId="5" w16cid:durableId="786702382">
    <w:abstractNumId w:val="8"/>
  </w:num>
  <w:num w:numId="6" w16cid:durableId="231619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39860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8317227">
    <w:abstractNumId w:val="7"/>
  </w:num>
  <w:num w:numId="9" w16cid:durableId="1337876769">
    <w:abstractNumId w:val="15"/>
    <w:lvlOverride w:ilvl="0">
      <w:startOverride w:val="1"/>
    </w:lvlOverride>
    <w:lvlOverride w:ilvl="1"/>
    <w:lvlOverride w:ilvl="2"/>
    <w:lvlOverride w:ilvl="3"/>
    <w:lvlOverride w:ilvl="4"/>
    <w:lvlOverride w:ilvl="5"/>
    <w:lvlOverride w:ilvl="6"/>
    <w:lvlOverride w:ilvl="7"/>
    <w:lvlOverride w:ilvl="8"/>
  </w:num>
  <w:num w:numId="10" w16cid:durableId="11628202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67247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0113943">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16cid:durableId="14537913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1936042">
    <w:abstractNumId w:val="20"/>
  </w:num>
  <w:num w:numId="15" w16cid:durableId="704644343">
    <w:abstractNumId w:val="12"/>
  </w:num>
  <w:num w:numId="16" w16cid:durableId="824006972">
    <w:abstractNumId w:val="10"/>
  </w:num>
  <w:num w:numId="17" w16cid:durableId="506218447">
    <w:abstractNumId w:val="3"/>
  </w:num>
  <w:num w:numId="18" w16cid:durableId="1704594096">
    <w:abstractNumId w:val="11"/>
  </w:num>
  <w:num w:numId="19" w16cid:durableId="811409360">
    <w:abstractNumId w:val="0"/>
  </w:num>
  <w:num w:numId="20" w16cid:durableId="2411375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4581326">
    <w:abstractNumId w:val="13"/>
  </w:num>
  <w:num w:numId="22" w16cid:durableId="528642923">
    <w:abstractNumId w:val="18"/>
  </w:num>
  <w:num w:numId="23" w16cid:durableId="443963388">
    <w:abstractNumId w:val="5"/>
  </w:num>
  <w:num w:numId="24" w16cid:durableId="418721166">
    <w:abstractNumId w:val="4"/>
  </w:num>
  <w:num w:numId="25" w16cid:durableId="1869443376">
    <w:abstractNumId w:val="6"/>
  </w:num>
  <w:num w:numId="26" w16cid:durableId="4434241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14"/>
    <w:rsid w:val="00005A5B"/>
    <w:rsid w:val="000069B2"/>
    <w:rsid w:val="00017469"/>
    <w:rsid w:val="000370DF"/>
    <w:rsid w:val="00041388"/>
    <w:rsid w:val="00045E1B"/>
    <w:rsid w:val="0004675B"/>
    <w:rsid w:val="00066367"/>
    <w:rsid w:val="00080063"/>
    <w:rsid w:val="00087A2C"/>
    <w:rsid w:val="000B706C"/>
    <w:rsid w:val="000B7BF8"/>
    <w:rsid w:val="000C664F"/>
    <w:rsid w:val="000E336F"/>
    <w:rsid w:val="00100EE5"/>
    <w:rsid w:val="00104C98"/>
    <w:rsid w:val="00132A7C"/>
    <w:rsid w:val="00141FFA"/>
    <w:rsid w:val="0014296A"/>
    <w:rsid w:val="001565A8"/>
    <w:rsid w:val="001875CF"/>
    <w:rsid w:val="00191914"/>
    <w:rsid w:val="00194C68"/>
    <w:rsid w:val="001C31A4"/>
    <w:rsid w:val="001E1977"/>
    <w:rsid w:val="00200073"/>
    <w:rsid w:val="00200D20"/>
    <w:rsid w:val="002023A6"/>
    <w:rsid w:val="002074F8"/>
    <w:rsid w:val="002264DE"/>
    <w:rsid w:val="002330DE"/>
    <w:rsid w:val="00255D39"/>
    <w:rsid w:val="002610E1"/>
    <w:rsid w:val="0027040A"/>
    <w:rsid w:val="0027447E"/>
    <w:rsid w:val="00277CA9"/>
    <w:rsid w:val="00295F98"/>
    <w:rsid w:val="002B3F97"/>
    <w:rsid w:val="00303C1A"/>
    <w:rsid w:val="003111BE"/>
    <w:rsid w:val="00357E3B"/>
    <w:rsid w:val="00366836"/>
    <w:rsid w:val="00374793"/>
    <w:rsid w:val="003920B3"/>
    <w:rsid w:val="00394E87"/>
    <w:rsid w:val="003A476D"/>
    <w:rsid w:val="003B4028"/>
    <w:rsid w:val="003C2352"/>
    <w:rsid w:val="003C6D04"/>
    <w:rsid w:val="003D324E"/>
    <w:rsid w:val="003E50DD"/>
    <w:rsid w:val="004143FC"/>
    <w:rsid w:val="00416ABE"/>
    <w:rsid w:val="004A4BA4"/>
    <w:rsid w:val="004C5D77"/>
    <w:rsid w:val="004E448D"/>
    <w:rsid w:val="004F5DC3"/>
    <w:rsid w:val="00555E40"/>
    <w:rsid w:val="00557EB4"/>
    <w:rsid w:val="00565685"/>
    <w:rsid w:val="00587831"/>
    <w:rsid w:val="00595AEC"/>
    <w:rsid w:val="00612137"/>
    <w:rsid w:val="006146B8"/>
    <w:rsid w:val="00625BB9"/>
    <w:rsid w:val="006312F0"/>
    <w:rsid w:val="00633B58"/>
    <w:rsid w:val="00671AB3"/>
    <w:rsid w:val="006843D7"/>
    <w:rsid w:val="006C34EC"/>
    <w:rsid w:val="006C7C0C"/>
    <w:rsid w:val="00713D72"/>
    <w:rsid w:val="00726E1E"/>
    <w:rsid w:val="0073222E"/>
    <w:rsid w:val="007466A0"/>
    <w:rsid w:val="0078078E"/>
    <w:rsid w:val="00786A1F"/>
    <w:rsid w:val="00787362"/>
    <w:rsid w:val="007A1D78"/>
    <w:rsid w:val="007D4D04"/>
    <w:rsid w:val="00804A66"/>
    <w:rsid w:val="00804B41"/>
    <w:rsid w:val="00807704"/>
    <w:rsid w:val="00816610"/>
    <w:rsid w:val="0082592C"/>
    <w:rsid w:val="008423C5"/>
    <w:rsid w:val="00852D39"/>
    <w:rsid w:val="00866792"/>
    <w:rsid w:val="008A533E"/>
    <w:rsid w:val="008A6B1A"/>
    <w:rsid w:val="008B3CB9"/>
    <w:rsid w:val="008F2318"/>
    <w:rsid w:val="008F712A"/>
    <w:rsid w:val="0096407B"/>
    <w:rsid w:val="00970D2F"/>
    <w:rsid w:val="009A00F4"/>
    <w:rsid w:val="009A46EA"/>
    <w:rsid w:val="009B4700"/>
    <w:rsid w:val="009D3B5B"/>
    <w:rsid w:val="00A371B2"/>
    <w:rsid w:val="00A5682B"/>
    <w:rsid w:val="00A609B7"/>
    <w:rsid w:val="00AB549E"/>
    <w:rsid w:val="00AC1032"/>
    <w:rsid w:val="00AD0328"/>
    <w:rsid w:val="00AF11BD"/>
    <w:rsid w:val="00B37019"/>
    <w:rsid w:val="00B44AE2"/>
    <w:rsid w:val="00B46A3E"/>
    <w:rsid w:val="00BC69BF"/>
    <w:rsid w:val="00BE7315"/>
    <w:rsid w:val="00C0219B"/>
    <w:rsid w:val="00C02286"/>
    <w:rsid w:val="00C10D77"/>
    <w:rsid w:val="00C17F5B"/>
    <w:rsid w:val="00C21B91"/>
    <w:rsid w:val="00C262E8"/>
    <w:rsid w:val="00C43090"/>
    <w:rsid w:val="00C433F1"/>
    <w:rsid w:val="00C53AD5"/>
    <w:rsid w:val="00C54027"/>
    <w:rsid w:val="00C60ECA"/>
    <w:rsid w:val="00C91FF4"/>
    <w:rsid w:val="00CA1DC6"/>
    <w:rsid w:val="00D04743"/>
    <w:rsid w:val="00D25BC5"/>
    <w:rsid w:val="00D26C96"/>
    <w:rsid w:val="00D627D7"/>
    <w:rsid w:val="00D764BA"/>
    <w:rsid w:val="00DD0768"/>
    <w:rsid w:val="00DD13B6"/>
    <w:rsid w:val="00DE43DB"/>
    <w:rsid w:val="00E41402"/>
    <w:rsid w:val="00E459FC"/>
    <w:rsid w:val="00E74B09"/>
    <w:rsid w:val="00E84611"/>
    <w:rsid w:val="00F431DA"/>
    <w:rsid w:val="00F44110"/>
    <w:rsid w:val="00F54031"/>
    <w:rsid w:val="00F671BF"/>
    <w:rsid w:val="00FB2398"/>
    <w:rsid w:val="00FE356D"/>
    <w:rsid w:val="00FE7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D52D57F"/>
  <w15:chartTrackingRefBased/>
  <w15:docId w15:val="{1D520C63-161C-43B9-AD42-354ED61E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new page/chapter,Heading 1 (NN),subhead 1,H1,1 ghost,g,Part"/>
    <w:basedOn w:val="Normal"/>
    <w:next w:val="Normal"/>
    <w:link w:val="Heading1Char"/>
    <w:uiPriority w:val="1"/>
    <w:qFormat/>
    <w:rsid w:val="000370DF"/>
    <w:pPr>
      <w:keepNext/>
      <w:spacing w:before="240" w:after="60" w:line="276" w:lineRule="auto"/>
      <w:outlineLvl w:val="0"/>
    </w:pPr>
    <w:rPr>
      <w:rFonts w:ascii="Cambria" w:eastAsia="Times New Roman" w:hAnsi="Cambria" w:cs="Times New Roman"/>
      <w:b/>
      <w:bCs/>
      <w:kern w:val="32"/>
      <w:sz w:val="32"/>
      <w:szCs w:val="32"/>
      <w:lang w:val="x-none" w:eastAsia="x-none"/>
      <w14:ligatures w14:val="none"/>
    </w:rPr>
  </w:style>
  <w:style w:type="paragraph" w:styleId="Heading2">
    <w:name w:val="heading 2"/>
    <w:aliases w:val="Char"/>
    <w:basedOn w:val="Normal"/>
    <w:next w:val="Normal"/>
    <w:link w:val="Heading2Char"/>
    <w:uiPriority w:val="9"/>
    <w:unhideWhenUsed/>
    <w:qFormat/>
    <w:rsid w:val="000370DF"/>
    <w:pPr>
      <w:keepNext/>
      <w:spacing w:before="240" w:after="60" w:line="276" w:lineRule="auto"/>
      <w:outlineLvl w:val="1"/>
    </w:pPr>
    <w:rPr>
      <w:rFonts w:ascii="Cambria" w:eastAsia="Times New Roman" w:hAnsi="Cambria" w:cs="Times New Roman"/>
      <w:b/>
      <w:bCs/>
      <w:i/>
      <w:iCs/>
      <w:kern w:val="0"/>
      <w:sz w:val="28"/>
      <w:szCs w:val="28"/>
      <w:lang w:val="x-none" w:eastAsia="x-none"/>
      <w14:ligatures w14:val="none"/>
    </w:rPr>
  </w:style>
  <w:style w:type="paragraph" w:styleId="Heading3">
    <w:name w:val="heading 3"/>
    <w:basedOn w:val="Normal"/>
    <w:next w:val="Normal"/>
    <w:link w:val="Heading3Char"/>
    <w:uiPriority w:val="9"/>
    <w:unhideWhenUsed/>
    <w:qFormat/>
    <w:rsid w:val="003D32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Alt Header"/>
    <w:basedOn w:val="Normal"/>
    <w:link w:val="HeaderChar"/>
    <w:uiPriority w:val="99"/>
    <w:unhideWhenUsed/>
    <w:rsid w:val="00191914"/>
    <w:pPr>
      <w:tabs>
        <w:tab w:val="center" w:pos="4680"/>
        <w:tab w:val="right" w:pos="9360"/>
      </w:tabs>
      <w:spacing w:after="0" w:line="240" w:lineRule="auto"/>
    </w:pPr>
  </w:style>
  <w:style w:type="character" w:customStyle="1" w:styleId="HeaderChar">
    <w:name w:val="Header Char"/>
    <w:aliases w:val="Alt Header Char"/>
    <w:basedOn w:val="DefaultParagraphFont"/>
    <w:link w:val="Header"/>
    <w:uiPriority w:val="99"/>
    <w:rsid w:val="00191914"/>
  </w:style>
  <w:style w:type="paragraph" w:styleId="Footer">
    <w:name w:val="footer"/>
    <w:basedOn w:val="Normal"/>
    <w:link w:val="FooterChar"/>
    <w:uiPriority w:val="99"/>
    <w:unhideWhenUsed/>
    <w:rsid w:val="00191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914"/>
  </w:style>
  <w:style w:type="character" w:styleId="CommentReference">
    <w:name w:val="annotation reference"/>
    <w:basedOn w:val="DefaultParagraphFont"/>
    <w:uiPriority w:val="99"/>
    <w:semiHidden/>
    <w:unhideWhenUsed/>
    <w:rsid w:val="008A533E"/>
    <w:rPr>
      <w:sz w:val="16"/>
      <w:szCs w:val="16"/>
    </w:rPr>
  </w:style>
  <w:style w:type="paragraph" w:styleId="CommentText">
    <w:name w:val="annotation text"/>
    <w:basedOn w:val="Normal"/>
    <w:link w:val="CommentTextChar"/>
    <w:uiPriority w:val="99"/>
    <w:unhideWhenUsed/>
    <w:rsid w:val="008A533E"/>
    <w:pPr>
      <w:spacing w:line="240" w:lineRule="auto"/>
    </w:pPr>
    <w:rPr>
      <w:sz w:val="20"/>
      <w:szCs w:val="20"/>
    </w:rPr>
  </w:style>
  <w:style w:type="character" w:customStyle="1" w:styleId="CommentTextChar">
    <w:name w:val="Comment Text Char"/>
    <w:basedOn w:val="DefaultParagraphFont"/>
    <w:link w:val="CommentText"/>
    <w:uiPriority w:val="99"/>
    <w:rsid w:val="008A533E"/>
    <w:rPr>
      <w:sz w:val="20"/>
      <w:szCs w:val="20"/>
    </w:rPr>
  </w:style>
  <w:style w:type="paragraph" w:styleId="CommentSubject">
    <w:name w:val="annotation subject"/>
    <w:basedOn w:val="CommentText"/>
    <w:next w:val="CommentText"/>
    <w:link w:val="CommentSubjectChar"/>
    <w:uiPriority w:val="99"/>
    <w:semiHidden/>
    <w:unhideWhenUsed/>
    <w:rsid w:val="008A533E"/>
    <w:rPr>
      <w:b/>
      <w:bCs/>
    </w:rPr>
  </w:style>
  <w:style w:type="character" w:customStyle="1" w:styleId="CommentSubjectChar">
    <w:name w:val="Comment Subject Char"/>
    <w:basedOn w:val="CommentTextChar"/>
    <w:link w:val="CommentSubject"/>
    <w:uiPriority w:val="99"/>
    <w:semiHidden/>
    <w:rsid w:val="008A533E"/>
    <w:rPr>
      <w:b/>
      <w:bCs/>
      <w:sz w:val="20"/>
      <w:szCs w:val="20"/>
    </w:rPr>
  </w:style>
  <w:style w:type="character" w:styleId="Hyperlink">
    <w:name w:val="Hyperlink"/>
    <w:basedOn w:val="DefaultParagraphFont"/>
    <w:uiPriority w:val="99"/>
    <w:unhideWhenUsed/>
    <w:rsid w:val="008A533E"/>
    <w:rPr>
      <w:color w:val="0563C1" w:themeColor="hyperlink"/>
      <w:u w:val="single"/>
    </w:rPr>
  </w:style>
  <w:style w:type="character" w:styleId="UnresolvedMention">
    <w:name w:val="Unresolved Mention"/>
    <w:basedOn w:val="DefaultParagraphFont"/>
    <w:uiPriority w:val="99"/>
    <w:semiHidden/>
    <w:unhideWhenUsed/>
    <w:rsid w:val="008A533E"/>
    <w:rPr>
      <w:color w:val="605E5C"/>
      <w:shd w:val="clear" w:color="auto" w:fill="E1DFDD"/>
    </w:rPr>
  </w:style>
  <w:style w:type="paragraph" w:styleId="Revision">
    <w:name w:val="Revision"/>
    <w:hidden/>
    <w:uiPriority w:val="99"/>
    <w:semiHidden/>
    <w:rsid w:val="009B4700"/>
    <w:pPr>
      <w:spacing w:after="0" w:line="240" w:lineRule="auto"/>
    </w:pPr>
  </w:style>
  <w:style w:type="character" w:styleId="FollowedHyperlink">
    <w:name w:val="FollowedHyperlink"/>
    <w:basedOn w:val="DefaultParagraphFont"/>
    <w:uiPriority w:val="99"/>
    <w:semiHidden/>
    <w:unhideWhenUsed/>
    <w:rsid w:val="002B3F97"/>
    <w:rPr>
      <w:color w:val="954F72" w:themeColor="followedHyperlink"/>
      <w:u w:val="single"/>
    </w:rPr>
  </w:style>
  <w:style w:type="character" w:customStyle="1" w:styleId="Heading1Char">
    <w:name w:val="Heading 1 Char"/>
    <w:aliases w:val="h1 Char,new page/chapter Char,Heading 1 (NN) Char,subhead 1 Char,H1 Char,1 ghost Char,g Char,Part Char"/>
    <w:basedOn w:val="DefaultParagraphFont"/>
    <w:link w:val="Heading1"/>
    <w:uiPriority w:val="9"/>
    <w:rsid w:val="000370DF"/>
    <w:rPr>
      <w:rFonts w:ascii="Cambria" w:eastAsia="Times New Roman" w:hAnsi="Cambria" w:cs="Times New Roman"/>
      <w:b/>
      <w:bCs/>
      <w:kern w:val="32"/>
      <w:sz w:val="32"/>
      <w:szCs w:val="32"/>
      <w:lang w:val="x-none" w:eastAsia="x-none"/>
      <w14:ligatures w14:val="none"/>
    </w:rPr>
  </w:style>
  <w:style w:type="character" w:customStyle="1" w:styleId="Heading2Char">
    <w:name w:val="Heading 2 Char"/>
    <w:aliases w:val="Char Char"/>
    <w:basedOn w:val="DefaultParagraphFont"/>
    <w:link w:val="Heading2"/>
    <w:uiPriority w:val="9"/>
    <w:rsid w:val="000370DF"/>
    <w:rPr>
      <w:rFonts w:ascii="Cambria" w:eastAsia="Times New Roman" w:hAnsi="Cambria" w:cs="Times New Roman"/>
      <w:b/>
      <w:bCs/>
      <w:i/>
      <w:iCs/>
      <w:kern w:val="0"/>
      <w:sz w:val="28"/>
      <w:szCs w:val="28"/>
      <w:lang w:val="x-none" w:eastAsia="x-none"/>
      <w14:ligatures w14:val="none"/>
    </w:rPr>
  </w:style>
  <w:style w:type="paragraph" w:styleId="ListParagraph">
    <w:name w:val="List Paragraph"/>
    <w:basedOn w:val="Normal"/>
    <w:link w:val="ListParagraphChar"/>
    <w:uiPriority w:val="34"/>
    <w:qFormat/>
    <w:rsid w:val="000370DF"/>
    <w:pPr>
      <w:spacing w:after="200" w:line="276" w:lineRule="auto"/>
      <w:ind w:left="720"/>
    </w:pPr>
    <w:rPr>
      <w:rFonts w:ascii="Calibri" w:eastAsia="Calibri" w:hAnsi="Calibri" w:cs="Times New Roman"/>
      <w:kern w:val="0"/>
      <w14:ligatures w14:val="none"/>
    </w:rPr>
  </w:style>
  <w:style w:type="paragraph" w:customStyle="1" w:styleId="Default">
    <w:name w:val="Default"/>
    <w:link w:val="DefaultChar"/>
    <w:rsid w:val="000370DF"/>
    <w:pPr>
      <w:widowControl w:val="0"/>
      <w:autoSpaceDE w:val="0"/>
      <w:autoSpaceDN w:val="0"/>
      <w:adjustRightInd w:val="0"/>
      <w:spacing w:after="0" w:line="240" w:lineRule="auto"/>
    </w:pPr>
    <w:rPr>
      <w:rFonts w:eastAsia="Times New Roman"/>
      <w:color w:val="000000"/>
      <w:kern w:val="0"/>
      <w:sz w:val="24"/>
      <w:szCs w:val="24"/>
      <w14:ligatures w14:val="none"/>
    </w:rPr>
  </w:style>
  <w:style w:type="character" w:customStyle="1" w:styleId="DefaultChar">
    <w:name w:val="Default Char"/>
    <w:link w:val="Default"/>
    <w:rsid w:val="000370DF"/>
    <w:rPr>
      <w:rFonts w:eastAsia="Times New Roman"/>
      <w:color w:val="000000"/>
      <w:kern w:val="0"/>
      <w:sz w:val="24"/>
      <w:szCs w:val="24"/>
      <w14:ligatures w14:val="none"/>
    </w:rPr>
  </w:style>
  <w:style w:type="paragraph" w:customStyle="1" w:styleId="TableParagraph">
    <w:name w:val="Table Paragraph"/>
    <w:basedOn w:val="Normal"/>
    <w:uiPriority w:val="1"/>
    <w:qFormat/>
    <w:rsid w:val="000370DF"/>
    <w:pPr>
      <w:widowControl w:val="0"/>
      <w:spacing w:after="0" w:line="240" w:lineRule="auto"/>
    </w:pPr>
    <w:rPr>
      <w:rFonts w:ascii="Calibri" w:eastAsia="Calibri" w:hAnsi="Calibri" w:cs="Times New Roman"/>
      <w:kern w:val="0"/>
      <w14:ligatures w14:val="none"/>
    </w:rPr>
  </w:style>
  <w:style w:type="character" w:customStyle="1" w:styleId="ListParagraphChar">
    <w:name w:val="List Paragraph Char"/>
    <w:basedOn w:val="DefaultParagraphFont"/>
    <w:link w:val="ListParagraph"/>
    <w:uiPriority w:val="34"/>
    <w:locked/>
    <w:rsid w:val="000370DF"/>
    <w:rPr>
      <w:rFonts w:ascii="Calibri" w:eastAsia="Calibri" w:hAnsi="Calibri" w:cs="Times New Roman"/>
      <w:kern w:val="0"/>
      <w14:ligatures w14:val="none"/>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B44AE2"/>
    <w:pPr>
      <w:widowControl w:val="0"/>
      <w:autoSpaceDE w:val="0"/>
      <w:autoSpaceDN w:val="0"/>
      <w:spacing w:after="0" w:line="240" w:lineRule="auto"/>
    </w:pPr>
    <w:rPr>
      <w:rFonts w:eastAsia="Arial"/>
      <w:kern w:val="0"/>
      <w14:ligatures w14:val="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1"/>
    <w:rsid w:val="00B44AE2"/>
    <w:rPr>
      <w:rFonts w:eastAsia="Arial"/>
      <w:kern w:val="0"/>
      <w14:ligatures w14:val="none"/>
    </w:rPr>
  </w:style>
  <w:style w:type="character" w:customStyle="1" w:styleId="cf01">
    <w:name w:val="cf01"/>
    <w:basedOn w:val="DefaultParagraphFont"/>
    <w:rsid w:val="00612137"/>
    <w:rPr>
      <w:rFonts w:ascii="Segoe UI" w:hAnsi="Segoe UI" w:cs="Segoe UI" w:hint="default"/>
      <w:sz w:val="18"/>
      <w:szCs w:val="18"/>
    </w:rPr>
  </w:style>
  <w:style w:type="table" w:customStyle="1" w:styleId="TableGrid42">
    <w:name w:val="Table Grid42"/>
    <w:basedOn w:val="TableNormal"/>
    <w:next w:val="TableGrid"/>
    <w:uiPriority w:val="59"/>
    <w:rsid w:val="00C5402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3D324E"/>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D2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1685">
      <w:bodyDiv w:val="1"/>
      <w:marLeft w:val="0"/>
      <w:marRight w:val="0"/>
      <w:marTop w:val="0"/>
      <w:marBottom w:val="0"/>
      <w:divBdr>
        <w:top w:val="none" w:sz="0" w:space="0" w:color="auto"/>
        <w:left w:val="none" w:sz="0" w:space="0" w:color="auto"/>
        <w:bottom w:val="none" w:sz="0" w:space="0" w:color="auto"/>
        <w:right w:val="none" w:sz="0" w:space="0" w:color="auto"/>
      </w:divBdr>
    </w:div>
    <w:div w:id="782189530">
      <w:bodyDiv w:val="1"/>
      <w:marLeft w:val="0"/>
      <w:marRight w:val="0"/>
      <w:marTop w:val="0"/>
      <w:marBottom w:val="0"/>
      <w:divBdr>
        <w:top w:val="none" w:sz="0" w:space="0" w:color="auto"/>
        <w:left w:val="none" w:sz="0" w:space="0" w:color="auto"/>
        <w:bottom w:val="none" w:sz="0" w:space="0" w:color="auto"/>
        <w:right w:val="none" w:sz="0" w:space="0" w:color="auto"/>
      </w:divBdr>
    </w:div>
    <w:div w:id="806436480">
      <w:bodyDiv w:val="1"/>
      <w:marLeft w:val="0"/>
      <w:marRight w:val="0"/>
      <w:marTop w:val="0"/>
      <w:marBottom w:val="0"/>
      <w:divBdr>
        <w:top w:val="none" w:sz="0" w:space="0" w:color="auto"/>
        <w:left w:val="none" w:sz="0" w:space="0" w:color="auto"/>
        <w:bottom w:val="none" w:sz="0" w:space="0" w:color="auto"/>
        <w:right w:val="none" w:sz="0" w:space="0" w:color="auto"/>
      </w:divBdr>
    </w:div>
    <w:div w:id="1719469583">
      <w:bodyDiv w:val="1"/>
      <w:marLeft w:val="0"/>
      <w:marRight w:val="0"/>
      <w:marTop w:val="0"/>
      <w:marBottom w:val="0"/>
      <w:divBdr>
        <w:top w:val="none" w:sz="0" w:space="0" w:color="auto"/>
        <w:left w:val="none" w:sz="0" w:space="0" w:color="auto"/>
        <w:bottom w:val="none" w:sz="0" w:space="0" w:color="auto"/>
        <w:right w:val="none" w:sz="0" w:space="0" w:color="auto"/>
      </w:divBdr>
    </w:div>
    <w:div w:id="1913925817">
      <w:bodyDiv w:val="1"/>
      <w:marLeft w:val="0"/>
      <w:marRight w:val="0"/>
      <w:marTop w:val="0"/>
      <w:marBottom w:val="0"/>
      <w:divBdr>
        <w:top w:val="none" w:sz="0" w:space="0" w:color="auto"/>
        <w:left w:val="none" w:sz="0" w:space="0" w:color="auto"/>
        <w:bottom w:val="none" w:sz="0" w:space="0" w:color="auto"/>
        <w:right w:val="none" w:sz="0" w:space="0" w:color="auto"/>
      </w:divBdr>
    </w:div>
    <w:div w:id="19904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cc02.safelinks.protection.outlook.com/?url=https%3A%2F%2Fits.ny.gov%2F80211-wireless-network-security&amp;data=05%7C01%7CPatricia.Kahn%40tax.ny.gov%7C8ba8d5dfbe0a4792cca308dbbf7a40c8%7Cf46cb8ea79004d108ceb80e8c1c81ee7%7C0%7C0%7C638314304012183567%7CUnknown%7CTWFpbGZsb3d8eyJWIjoiMC4wLjAwMDAiLCJQIjoiV2luMzIiLCJBTiI6Ik1haWwiLCJXVCI6Mn0%3D%7C3000%7C%7C%7C&amp;sdata=h4LHaU8BIJWNkko2xOwKlCaW%2BcMqRALCeORk0%2FCmpc8%3D&amp;reserved=0" TargetMode="External"/><Relationship Id="rId18" Type="http://schemas.openxmlformats.org/officeDocument/2006/relationships/hyperlink" Target="https://gcc02.safelinks.protection.outlook.com/?url=https%3A%2F%2Fits.ny.gov%2Fvulnerability-management&amp;data=05%7C01%7CPatricia.Kahn%40tax.ny.gov%7C8ba8d5dfbe0a4792cca308dbbf7a40c8%7Cf46cb8ea79004d108ceb80e8c1c81ee7%7C0%7C0%7C638314304012339789%7CUnknown%7CTWFpbGZsb3d8eyJWIjoiMC4wLjAwMDAiLCJQIjoiV2luMzIiLCJBTiI6Ik1haWwiLCJXVCI6Mn0%3D%7C3000%7C%7C%7C&amp;sdata=XKxN%2BJQS54rzQmg%2BnLqQmS6b9qG2PMGomIENGkhvaoQ%3D&amp;reserved=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gcc02.safelinks.protection.outlook.com/?url=https%3A%2F%2Fits.ny.gov%2Fsecure-configuration-standard&amp;data=05%7C01%7CPatricia.Kahn%40tax.ny.gov%7C8ba8d5dfbe0a4792cca308dbbf7a40c8%7Cf46cb8ea79004d108ceb80e8c1c81ee7%7C0%7C0%7C638314304012339789%7CUnknown%7CTWFpbGZsb3d8eyJWIjoiMC4wLjAwMDAiLCJQIjoiV2luMzIiLCJBTiI6Ik1haWwiLCJXVCI6Mn0%3D%7C3000%7C%7C%7C&amp;sdata=5sHkF6SeuP%2BOIxglDBqPlmXXhm%2Bu51DcouBt6%2F2SpSI%3D&amp;reserved=0"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gcc02.safelinks.protection.outlook.com/?url=https%3A%2F%2Fits.ny.gov%2Fsanitization-secure-disposal-standard&amp;data=05%7C01%7CPatricia.Kahn%40tax.ny.gov%7C8ba8d5dfbe0a4792cca308dbbf7a40c8%7Cf46cb8ea79004d108ceb80e8c1c81ee7%7C0%7C0%7C638314304012339789%7CUnknown%7CTWFpbGZsb3d8eyJWIjoiMC4wLjAwMDAiLCJQIjoiV2luMzIiLCJBTiI6Ik1haWwiLCJXVCI6Mn0%3D%7C3000%7C%7C%7C&amp;sdata=9CPoGKylrCQRk0iZ%2BCmX%2FRx7IcCKlICKZt5Vxxk1EGg%3D&amp;reserved=0"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mailto:VeteransDevelopment@ogs.ny.gov" TargetMode="External"/><Relationship Id="rId5" Type="http://schemas.openxmlformats.org/officeDocument/2006/relationships/footnotes" Target="footnotes.xml"/><Relationship Id="rId15" Type="http://schemas.openxmlformats.org/officeDocument/2006/relationships/hyperlink" Target="https://gcc02.safelinks.protection.outlook.com/?url=https%3A%2F%2Fits.ny.gov%2Fsecurity-logging-standard&amp;data=05%7C01%7CPatricia.Kahn%40tax.ny.gov%7C8ba8d5dfbe0a4792cca308dbbf7a40c8%7Cf46cb8ea79004d108ceb80e8c1c81ee7%7C0%7C0%7C638314304012339789%7CUnknown%7CTWFpbGZsb3d8eyJWIjoiMC4wLjAwMDAiLCJQIjoiV2luMzIiLCJBTiI6Ik1haWwiLCJXVCI6Mn0%3D%7C3000%7C%7C%7C&amp;sdata=mjiqKCLm6xTn%2BAEUx9mIVX%2BqZSmsjofB%2BShDALK381k%3D&amp;reserved=0" TargetMode="External"/><Relationship Id="rId23" Type="http://schemas.openxmlformats.org/officeDocument/2006/relationships/hyperlink" Target="https://ogs.ny.gov/veterans/" TargetMode="External"/><Relationship Id="rId10" Type="http://schemas.openxmlformats.org/officeDocument/2006/relationships/hyperlink" Target="https://its.ny.gov/system/files/documents/2023/09/nys-p23-002-technology-exception-policy.pdf" TargetMode="External"/><Relationship Id="rId19" Type="http://schemas.openxmlformats.org/officeDocument/2006/relationships/hyperlink" Target="https://gcc02.safelinks.protection.outlook.com/?url=https%3A%2F%2Fits.ny.gov%2Fpatch-management&amp;data=05%7C01%7CPatricia.Kahn%40tax.ny.gov%7C8ba8d5dfbe0a4792cca308dbbf7a40c8%7Cf46cb8ea79004d108ceb80e8c1c81ee7%7C0%7C0%7C638314304012339789%7CUnknown%7CTWFpbGZsb3d8eyJWIjoiMC4wLjAwMDAiLCJQIjoiV2luMzIiLCJBTiI6Ik1haWwiLCJXVCI6Mn0%3D%7C3000%7C%7C%7C&amp;sdata=O%2BTxpGoPYM0ZPlS0Szak6boLaN2MBbMOVtj2npE81Y4%3D&amp;reserved=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gcc02.safelinks.protection.outlook.com/?url=https%3A%2F%2Fits.ny.gov%2Finformation-security-risk-management-standard&amp;data=05%7C01%7CPatricia.Kahn%40tax.ny.gov%7C8ba8d5dfbe0a4792cca308dbbf7a40c8%7Cf46cb8ea79004d108ceb80e8c1c81ee7%7C0%7C0%7C638314304012339789%7CUnknown%7CTWFpbGZsb3d8eyJWIjoiMC4wLjAwMDAiLCJQIjoiV2luMzIiLCJBTiI6Ik1haWwiLCJXVCI6Mn0%3D%7C3000%7C%7C%7C&amp;sdata=zjBrZ4fh8HEMwq7J7tcoEPHMefOzY1lQPd7fDXxm6%2Fk%3D&amp;reserved=0"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12</Pages>
  <Words>4033</Words>
  <Characters>22989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Brownell (TAX)</dc:creator>
  <cp:keywords/>
  <dc:description/>
  <cp:lastModifiedBy>Matthew Brownell (TAX)</cp:lastModifiedBy>
  <cp:revision>30</cp:revision>
  <dcterms:created xsi:type="dcterms:W3CDTF">2024-04-02T14:36:00Z</dcterms:created>
  <dcterms:modified xsi:type="dcterms:W3CDTF">2024-04-04T20:53:00Z</dcterms:modified>
</cp:coreProperties>
</file>