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713D72" w:rsidRPr="00643312" w14:paraId="45371621" w14:textId="77777777" w:rsidTr="001135F7">
        <w:trPr>
          <w:trHeight w:val="1017"/>
          <w:jc w:val="center"/>
        </w:trPr>
        <w:tc>
          <w:tcPr>
            <w:tcW w:w="11131" w:type="dxa"/>
            <w:gridSpan w:val="3"/>
          </w:tcPr>
          <w:p w14:paraId="23D17BDA" w14:textId="77777777" w:rsidR="00713D72" w:rsidRPr="00643312" w:rsidRDefault="00713D72" w:rsidP="001135F7">
            <w:pPr>
              <w:ind w:left="733"/>
              <w:rPr>
                <w:i/>
              </w:rPr>
            </w:pPr>
            <w:bookmarkStart w:id="0" w:name="_Hlk89341694"/>
            <w:r w:rsidRPr="00643312">
              <w:rPr>
                <w:i/>
                <w:noProof/>
              </w:rPr>
              <w:drawing>
                <wp:inline distT="0" distB="0" distL="0" distR="0" wp14:anchorId="79A278CA" wp14:editId="6900C588">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6891D55" w14:textId="77777777" w:rsidR="00713D72" w:rsidRPr="00643312" w:rsidRDefault="00713D72" w:rsidP="001135F7">
            <w:pPr>
              <w:ind w:left="45"/>
              <w:rPr>
                <w:i/>
              </w:rPr>
            </w:pPr>
          </w:p>
        </w:tc>
      </w:tr>
      <w:tr w:rsidR="00713D72" w:rsidRPr="00643312" w14:paraId="605640FD" w14:textId="77777777" w:rsidTr="001135F7">
        <w:trPr>
          <w:trHeight w:val="551"/>
          <w:jc w:val="center"/>
        </w:trPr>
        <w:tc>
          <w:tcPr>
            <w:tcW w:w="4406" w:type="dxa"/>
            <w:vAlign w:val="center"/>
          </w:tcPr>
          <w:p w14:paraId="6D58B811" w14:textId="77777777" w:rsidR="00713D72" w:rsidRPr="00643312" w:rsidRDefault="00713D72" w:rsidP="001135F7">
            <w:pPr>
              <w:spacing w:before="160"/>
              <w:ind w:left="733"/>
              <w:rPr>
                <w:b/>
                <w:caps/>
                <w:noProof/>
                <w:sz w:val="20"/>
              </w:rPr>
            </w:pPr>
            <w:r w:rsidRPr="00643312">
              <w:rPr>
                <w:b/>
                <w:color w:val="007681"/>
              </w:rPr>
              <w:t>BUREAU OF FISCAL SERVICES</w:t>
            </w:r>
            <w:r w:rsidRPr="00643312">
              <w:rPr>
                <w:b/>
                <w:caps/>
                <w:noProof/>
                <w:sz w:val="20"/>
              </w:rPr>
              <w:t xml:space="preserve"> </w:t>
            </w:r>
          </w:p>
          <w:p w14:paraId="7F9A5A56" w14:textId="77777777" w:rsidR="00713D72" w:rsidRPr="00643312" w:rsidRDefault="00713D72" w:rsidP="001135F7">
            <w:pPr>
              <w:spacing w:before="60"/>
              <w:ind w:left="734"/>
              <w:rPr>
                <w:b/>
                <w:caps/>
                <w:noProof/>
                <w:sz w:val="20"/>
              </w:rPr>
            </w:pPr>
            <w:r w:rsidRPr="00643312">
              <w:rPr>
                <w:b/>
                <w:caps/>
                <w:noProof/>
                <w:sz w:val="20"/>
              </w:rPr>
              <w:t>Procurement Unit</w:t>
            </w:r>
          </w:p>
          <w:p w14:paraId="5F888050" w14:textId="77777777" w:rsidR="00713D72" w:rsidRPr="00643312" w:rsidRDefault="00713D72" w:rsidP="001135F7">
            <w:pPr>
              <w:spacing w:before="60"/>
              <w:ind w:left="734"/>
              <w:rPr>
                <w:b/>
                <w:caps/>
                <w:noProof/>
                <w:sz w:val="20"/>
              </w:rPr>
            </w:pPr>
          </w:p>
          <w:p w14:paraId="12AF6CA2" w14:textId="77777777" w:rsidR="00713D72" w:rsidRPr="00643312" w:rsidRDefault="00713D72" w:rsidP="001135F7">
            <w:pPr>
              <w:spacing w:before="60"/>
              <w:ind w:left="734"/>
              <w:rPr>
                <w:b/>
                <w:caps/>
                <w:noProof/>
                <w:sz w:val="20"/>
              </w:rPr>
            </w:pPr>
          </w:p>
        </w:tc>
        <w:tc>
          <w:tcPr>
            <w:tcW w:w="2963" w:type="dxa"/>
            <w:vAlign w:val="center"/>
          </w:tcPr>
          <w:p w14:paraId="6EE74815" w14:textId="77777777" w:rsidR="00713D72" w:rsidRPr="00643312" w:rsidRDefault="00713D72" w:rsidP="001135F7">
            <w:pPr>
              <w:ind w:left="250"/>
              <w:rPr>
                <w:noProof/>
              </w:rPr>
            </w:pPr>
          </w:p>
        </w:tc>
        <w:tc>
          <w:tcPr>
            <w:tcW w:w="3762" w:type="dxa"/>
            <w:vAlign w:val="center"/>
          </w:tcPr>
          <w:p w14:paraId="39C5478A" w14:textId="77777777" w:rsidR="00713D72" w:rsidRPr="00643312" w:rsidRDefault="00713D72" w:rsidP="001135F7">
            <w:pPr>
              <w:ind w:left="593"/>
              <w:rPr>
                <w:caps/>
                <w:noProof/>
                <w:sz w:val="20"/>
              </w:rPr>
            </w:pPr>
          </w:p>
        </w:tc>
      </w:tr>
    </w:tbl>
    <w:p w14:paraId="68080B2A" w14:textId="39DFC7F9" w:rsidR="00713D72" w:rsidRPr="00713D72" w:rsidRDefault="00713D72" w:rsidP="00713D72">
      <w:pPr>
        <w:jc w:val="center"/>
        <w:rPr>
          <w:rFonts w:eastAsia="Calibri"/>
          <w:b/>
          <w:bCs/>
        </w:rPr>
      </w:pPr>
      <w:r w:rsidRPr="00713D72">
        <w:rPr>
          <w:rFonts w:eastAsia="Calibri"/>
          <w:b/>
          <w:bCs/>
        </w:rPr>
        <w:t>March 7, 2024</w:t>
      </w:r>
    </w:p>
    <w:p w14:paraId="17A1419F" w14:textId="77777777" w:rsidR="00713D72" w:rsidRPr="00713D72" w:rsidRDefault="00713D72" w:rsidP="00713D72">
      <w:pPr>
        <w:jc w:val="center"/>
        <w:rPr>
          <w:b/>
        </w:rPr>
      </w:pPr>
    </w:p>
    <w:p w14:paraId="205F31CD" w14:textId="4C65E72F" w:rsidR="00713D72" w:rsidRPr="00713D72" w:rsidRDefault="00713D72" w:rsidP="00713D72">
      <w:pPr>
        <w:jc w:val="center"/>
        <w:rPr>
          <w:rFonts w:eastAsia="Calibri"/>
          <w:b/>
          <w:bCs/>
        </w:rPr>
      </w:pPr>
      <w:r w:rsidRPr="00713D72">
        <w:rPr>
          <w:rFonts w:eastAsia="Calibri"/>
          <w:b/>
          <w:bCs/>
        </w:rPr>
        <w:t xml:space="preserve">Request for Proposals (RFP) 23-103 </w:t>
      </w:r>
    </w:p>
    <w:p w14:paraId="7F06526C" w14:textId="2A42869F" w:rsidR="00713D72" w:rsidRPr="00713D72" w:rsidRDefault="00713D72" w:rsidP="00713D72">
      <w:pPr>
        <w:jc w:val="center"/>
        <w:rPr>
          <w:rFonts w:eastAsia="Calibri"/>
          <w:b/>
          <w:bCs/>
        </w:rPr>
      </w:pPr>
      <w:r w:rsidRPr="00713D72">
        <w:rPr>
          <w:rFonts w:eastAsia="Calibri"/>
          <w:b/>
          <w:bCs/>
        </w:rPr>
        <w:t>Check 21 Services</w:t>
      </w:r>
    </w:p>
    <w:p w14:paraId="3094E7FB" w14:textId="77777777" w:rsidR="00713D72" w:rsidRPr="00713D72" w:rsidRDefault="00713D72" w:rsidP="00713D72">
      <w:pPr>
        <w:jc w:val="center"/>
        <w:rPr>
          <w:rFonts w:eastAsia="Calibri"/>
          <w:b/>
          <w:bCs/>
        </w:rPr>
      </w:pPr>
    </w:p>
    <w:p w14:paraId="5B944DA4" w14:textId="26F095C2" w:rsidR="00713D72" w:rsidRPr="00713D72" w:rsidRDefault="00713D72" w:rsidP="00713D72">
      <w:pPr>
        <w:jc w:val="center"/>
        <w:rPr>
          <w:rFonts w:eastAsia="Calibri"/>
          <w:b/>
          <w:bCs/>
        </w:rPr>
      </w:pPr>
      <w:r w:rsidRPr="00713D72">
        <w:rPr>
          <w:rFonts w:eastAsia="Calibri"/>
          <w:b/>
          <w:bCs/>
        </w:rPr>
        <w:t>Responses to Round One Bidder Questions and Amendment #1</w:t>
      </w:r>
    </w:p>
    <w:p w14:paraId="5F5D6F53" w14:textId="77777777" w:rsidR="00713D72" w:rsidRPr="00713D72" w:rsidRDefault="00713D72" w:rsidP="00713D72">
      <w:pPr>
        <w:ind w:right="270"/>
        <w:rPr>
          <w:rFonts w:eastAsia="Calibri"/>
          <w:b/>
          <w:bCs/>
        </w:rPr>
      </w:pPr>
    </w:p>
    <w:p w14:paraId="1E849E91" w14:textId="77777777" w:rsidR="00713D72" w:rsidRPr="00713D72" w:rsidRDefault="00713D72" w:rsidP="00713D72">
      <w:pPr>
        <w:autoSpaceDE w:val="0"/>
        <w:autoSpaceDN w:val="0"/>
        <w:adjustRightInd w:val="0"/>
        <w:spacing w:after="200" w:line="276" w:lineRule="auto"/>
        <w:ind w:right="270"/>
        <w:jc w:val="both"/>
        <w:rPr>
          <w:rFonts w:eastAsia="Calibri"/>
        </w:rPr>
      </w:pPr>
      <w:bookmarkStart w:id="1" w:name="_Hlk3362932"/>
      <w:r w:rsidRPr="00713D72">
        <w:rPr>
          <w:rFonts w:eastAsia="Calibri"/>
        </w:rPr>
        <w:t>To All Potential Bidders:</w:t>
      </w:r>
    </w:p>
    <w:p w14:paraId="60C3EB3A" w14:textId="7D4D3156" w:rsidR="00713D72" w:rsidRPr="00713D72" w:rsidRDefault="00713D72" w:rsidP="00713D72">
      <w:pPr>
        <w:autoSpaceDE w:val="0"/>
        <w:autoSpaceDN w:val="0"/>
        <w:spacing w:before="60" w:after="200" w:line="276" w:lineRule="auto"/>
        <w:ind w:right="270"/>
        <w:jc w:val="both"/>
      </w:pPr>
      <w:r w:rsidRPr="00713D72">
        <w:t>Attached are the Department’s Responses to Round One Bidder Questions received for the above referenced RFP.</w:t>
      </w:r>
      <w:bookmarkEnd w:id="1"/>
    </w:p>
    <w:p w14:paraId="57240602" w14:textId="48CB02DC" w:rsidR="00713D72" w:rsidRPr="00713D72" w:rsidRDefault="00713D72" w:rsidP="00713D72">
      <w:pPr>
        <w:spacing w:before="240" w:line="276" w:lineRule="auto"/>
        <w:ind w:right="270"/>
        <w:jc w:val="both"/>
      </w:pPr>
      <w:r w:rsidRPr="00713D72">
        <w:t>Additionally, the Department is issuing Amendment #1 as clarification to:</w:t>
      </w:r>
    </w:p>
    <w:p w14:paraId="4EA4FEA6" w14:textId="67EFDF36" w:rsidR="00713D72" w:rsidRDefault="00B44AE2" w:rsidP="00713D72">
      <w:pPr>
        <w:numPr>
          <w:ilvl w:val="0"/>
          <w:numId w:val="1"/>
        </w:numPr>
        <w:autoSpaceDE w:val="0"/>
        <w:autoSpaceDN w:val="0"/>
        <w:adjustRightInd w:val="0"/>
        <w:spacing w:before="240" w:after="60" w:line="276" w:lineRule="auto"/>
        <w:ind w:right="270"/>
        <w:jc w:val="both"/>
        <w:rPr>
          <w:rFonts w:eastAsia="Calibri"/>
        </w:rPr>
      </w:pPr>
      <w:r w:rsidRPr="00B44AE2">
        <w:rPr>
          <w:rFonts w:eastAsia="Calibri"/>
        </w:rPr>
        <w:t xml:space="preserve">Amend </w:t>
      </w:r>
      <w:r w:rsidR="008F712A">
        <w:rPr>
          <w:rFonts w:eastAsia="Calibri"/>
        </w:rPr>
        <w:t xml:space="preserve">RFP </w:t>
      </w:r>
      <w:r w:rsidRPr="00B44AE2">
        <w:rPr>
          <w:rFonts w:eastAsia="Calibri"/>
        </w:rPr>
        <w:t>Table 3.1</w:t>
      </w:r>
    </w:p>
    <w:p w14:paraId="64AD4790" w14:textId="358A55F7" w:rsidR="00B44AE2" w:rsidRDefault="00B44AE2" w:rsidP="00713D72">
      <w:pPr>
        <w:numPr>
          <w:ilvl w:val="0"/>
          <w:numId w:val="1"/>
        </w:numPr>
        <w:autoSpaceDE w:val="0"/>
        <w:autoSpaceDN w:val="0"/>
        <w:adjustRightInd w:val="0"/>
        <w:spacing w:before="240" w:after="60" w:line="276" w:lineRule="auto"/>
        <w:ind w:right="270"/>
        <w:jc w:val="both"/>
        <w:rPr>
          <w:rFonts w:eastAsia="Calibri"/>
        </w:rPr>
      </w:pPr>
      <w:r w:rsidRPr="00B44AE2">
        <w:rPr>
          <w:rFonts w:eastAsia="Calibri"/>
        </w:rPr>
        <w:t xml:space="preserve">Amend </w:t>
      </w:r>
      <w:r w:rsidR="008F712A">
        <w:rPr>
          <w:rFonts w:eastAsia="Calibri"/>
        </w:rPr>
        <w:t xml:space="preserve">RFP </w:t>
      </w:r>
      <w:r w:rsidRPr="00B44AE2">
        <w:rPr>
          <w:rFonts w:eastAsia="Calibri"/>
        </w:rPr>
        <w:t>Exhibit B</w:t>
      </w:r>
      <w:r w:rsidR="008F712A">
        <w:rPr>
          <w:rFonts w:eastAsia="Calibri"/>
        </w:rPr>
        <w:t>,</w:t>
      </w:r>
      <w:r w:rsidRPr="00B44AE2">
        <w:rPr>
          <w:rFonts w:eastAsia="Calibri"/>
        </w:rPr>
        <w:t xml:space="preserve"> </w:t>
      </w:r>
      <w:r w:rsidRPr="008F712A">
        <w:rPr>
          <w:rFonts w:eastAsia="Calibri"/>
          <w:i/>
          <w:iCs/>
        </w:rPr>
        <w:t>Volumes</w:t>
      </w:r>
      <w:r w:rsidRPr="00B44AE2">
        <w:rPr>
          <w:rFonts w:eastAsia="Calibri"/>
        </w:rPr>
        <w:t xml:space="preserve"> </w:t>
      </w:r>
    </w:p>
    <w:p w14:paraId="66A5D716" w14:textId="6154DB18" w:rsidR="00087A2C" w:rsidRPr="00713D72" w:rsidRDefault="00087A2C" w:rsidP="00713D72">
      <w:pPr>
        <w:numPr>
          <w:ilvl w:val="0"/>
          <w:numId w:val="1"/>
        </w:numPr>
        <w:autoSpaceDE w:val="0"/>
        <w:autoSpaceDN w:val="0"/>
        <w:adjustRightInd w:val="0"/>
        <w:spacing w:before="240" w:after="60" w:line="276" w:lineRule="auto"/>
        <w:ind w:right="270"/>
        <w:jc w:val="both"/>
        <w:rPr>
          <w:rFonts w:eastAsia="Calibri"/>
        </w:rPr>
      </w:pPr>
      <w:r>
        <w:rPr>
          <w:rFonts w:eastAsia="Calibri"/>
        </w:rPr>
        <w:t xml:space="preserve">Amend Exhibit J, </w:t>
      </w:r>
      <w:r>
        <w:rPr>
          <w:rFonts w:eastAsia="Calibri"/>
          <w:i/>
          <w:iCs/>
        </w:rPr>
        <w:t>Banking Services Schedules</w:t>
      </w:r>
    </w:p>
    <w:p w14:paraId="14216B68" w14:textId="22253D80" w:rsidR="00713D72" w:rsidRPr="00713D72" w:rsidRDefault="00713D72" w:rsidP="00713D72">
      <w:pPr>
        <w:spacing w:before="240" w:line="276" w:lineRule="auto"/>
        <w:ind w:right="270"/>
        <w:jc w:val="both"/>
      </w:pPr>
      <w:r w:rsidRPr="00713D72">
        <w:t xml:space="preserve">Corrected pages are attached to this document. All additions are made in </w:t>
      </w:r>
      <w:r w:rsidR="00C433F1" w:rsidRPr="0027040A">
        <w:rPr>
          <w:color w:val="305CBE"/>
        </w:rPr>
        <w:t>blue</w:t>
      </w:r>
      <w:r w:rsidRPr="0027040A">
        <w:rPr>
          <w:color w:val="305CBE"/>
        </w:rPr>
        <w:t xml:space="preserve"> text.</w:t>
      </w:r>
    </w:p>
    <w:p w14:paraId="0878AFD4" w14:textId="3990D617" w:rsidR="0082592C" w:rsidRPr="00713D72" w:rsidRDefault="00713D72" w:rsidP="00713D72">
      <w:pPr>
        <w:spacing w:before="240" w:line="276" w:lineRule="auto"/>
        <w:ind w:right="270"/>
        <w:jc w:val="both"/>
        <w:rPr>
          <w:b/>
          <w:bCs/>
        </w:rPr>
        <w:sectPr w:rsidR="0082592C" w:rsidRPr="00713D72" w:rsidSect="009D3B5B">
          <w:headerReference w:type="default" r:id="rId8"/>
          <w:footerReference w:type="default" r:id="rId9"/>
          <w:type w:val="continuous"/>
          <w:pgSz w:w="12240" w:h="15840" w:code="1"/>
          <w:pgMar w:top="1440" w:right="1440" w:bottom="1440" w:left="1440" w:header="432" w:footer="720" w:gutter="0"/>
          <w:cols w:space="720"/>
          <w:docGrid w:linePitch="360"/>
        </w:sectPr>
      </w:pPr>
      <w:r w:rsidRPr="00713D72">
        <w:t>All other requirements and conditions remain as indicated in the RFP.</w:t>
      </w:r>
      <w:bookmarkEnd w:id="0"/>
    </w:p>
    <w:tbl>
      <w:tblPr>
        <w:tblStyle w:val="TableGrid"/>
        <w:tblW w:w="14035" w:type="dxa"/>
        <w:tblLayout w:type="fixed"/>
        <w:tblLook w:val="04A0" w:firstRow="1" w:lastRow="0" w:firstColumn="1" w:lastColumn="0" w:noHBand="0" w:noVBand="1"/>
      </w:tblPr>
      <w:tblGrid>
        <w:gridCol w:w="355"/>
        <w:gridCol w:w="1440"/>
        <w:gridCol w:w="540"/>
        <w:gridCol w:w="4410"/>
        <w:gridCol w:w="7290"/>
      </w:tblGrid>
      <w:tr w:rsidR="00A609B7" w14:paraId="240F86D2" w14:textId="5DB4DE2C" w:rsidTr="003C6D04">
        <w:trPr>
          <w:trHeight w:val="96"/>
          <w:tblHeader/>
        </w:trPr>
        <w:tc>
          <w:tcPr>
            <w:tcW w:w="355" w:type="dxa"/>
            <w:vMerge w:val="restart"/>
            <w:shd w:val="clear" w:color="auto" w:fill="BFBFBF" w:themeFill="background1" w:themeFillShade="BF"/>
          </w:tcPr>
          <w:p w14:paraId="40F98ED7" w14:textId="755A4601" w:rsidR="00A609B7" w:rsidRPr="00191914" w:rsidRDefault="00A609B7" w:rsidP="00191914">
            <w:pPr>
              <w:jc w:val="center"/>
              <w:rPr>
                <w:b/>
                <w:bCs/>
              </w:rPr>
            </w:pPr>
            <w:r w:rsidRPr="00191914">
              <w:rPr>
                <w:b/>
                <w:bCs/>
              </w:rPr>
              <w:lastRenderedPageBreak/>
              <w:t>#</w:t>
            </w:r>
          </w:p>
        </w:tc>
        <w:tc>
          <w:tcPr>
            <w:tcW w:w="1980" w:type="dxa"/>
            <w:gridSpan w:val="2"/>
            <w:shd w:val="clear" w:color="auto" w:fill="BFBFBF" w:themeFill="background1" w:themeFillShade="BF"/>
          </w:tcPr>
          <w:p w14:paraId="60749235" w14:textId="708C2AA3" w:rsidR="00A609B7" w:rsidRPr="00191914" w:rsidRDefault="00A609B7" w:rsidP="003C6D04">
            <w:pPr>
              <w:spacing w:after="60"/>
              <w:jc w:val="center"/>
              <w:rPr>
                <w:b/>
                <w:bCs/>
              </w:rPr>
            </w:pPr>
            <w:r w:rsidRPr="00191914">
              <w:rPr>
                <w:b/>
                <w:bCs/>
              </w:rPr>
              <w:t>RFP</w:t>
            </w:r>
          </w:p>
        </w:tc>
        <w:tc>
          <w:tcPr>
            <w:tcW w:w="4410" w:type="dxa"/>
            <w:vMerge w:val="restart"/>
            <w:shd w:val="clear" w:color="auto" w:fill="BFBFBF" w:themeFill="background1" w:themeFillShade="BF"/>
            <w:vAlign w:val="bottom"/>
          </w:tcPr>
          <w:p w14:paraId="7319EF2A" w14:textId="795C90A6" w:rsidR="00A609B7" w:rsidRPr="00191914" w:rsidRDefault="00A609B7" w:rsidP="003C6D04">
            <w:pPr>
              <w:spacing w:after="60"/>
              <w:jc w:val="center"/>
              <w:rPr>
                <w:b/>
                <w:bCs/>
              </w:rPr>
            </w:pPr>
            <w:r w:rsidRPr="00191914">
              <w:rPr>
                <w:b/>
                <w:bCs/>
              </w:rPr>
              <w:t>QUESTION</w:t>
            </w:r>
          </w:p>
        </w:tc>
        <w:tc>
          <w:tcPr>
            <w:tcW w:w="7290" w:type="dxa"/>
            <w:vMerge w:val="restart"/>
            <w:shd w:val="clear" w:color="auto" w:fill="007681"/>
            <w:vAlign w:val="bottom"/>
          </w:tcPr>
          <w:p w14:paraId="7EBC339E" w14:textId="2D212AC7" w:rsidR="00A609B7" w:rsidRPr="004143FC" w:rsidRDefault="00A609B7" w:rsidP="003C6D04">
            <w:pPr>
              <w:spacing w:after="60"/>
              <w:jc w:val="center"/>
              <w:rPr>
                <w:b/>
                <w:bCs/>
                <w:color w:val="FFFFFF" w:themeColor="background1"/>
              </w:rPr>
            </w:pPr>
            <w:r w:rsidRPr="006C7C0C">
              <w:rPr>
                <w:b/>
                <w:bCs/>
                <w:color w:val="FFFFFF" w:themeColor="background1"/>
              </w:rPr>
              <w:t>DEPARTMENT RESPONSE</w:t>
            </w:r>
          </w:p>
        </w:tc>
      </w:tr>
      <w:tr w:rsidR="00A609B7" w14:paraId="6D50E6E7" w14:textId="15153B59" w:rsidTr="003C6D04">
        <w:trPr>
          <w:trHeight w:val="70"/>
          <w:tblHeader/>
        </w:trPr>
        <w:tc>
          <w:tcPr>
            <w:tcW w:w="355" w:type="dxa"/>
            <w:vMerge/>
          </w:tcPr>
          <w:p w14:paraId="02B3EB61" w14:textId="77777777" w:rsidR="00A609B7" w:rsidRDefault="00A609B7"/>
        </w:tc>
        <w:tc>
          <w:tcPr>
            <w:tcW w:w="1440" w:type="dxa"/>
            <w:shd w:val="clear" w:color="auto" w:fill="D9D9D9" w:themeFill="background1" w:themeFillShade="D9"/>
          </w:tcPr>
          <w:p w14:paraId="4B59877C" w14:textId="2736BBF1" w:rsidR="00A609B7" w:rsidRPr="009B4700" w:rsidRDefault="00A609B7" w:rsidP="003C6D04">
            <w:pPr>
              <w:spacing w:after="60"/>
              <w:jc w:val="center"/>
              <w:rPr>
                <w:b/>
                <w:bCs/>
                <w:sz w:val="20"/>
                <w:szCs w:val="20"/>
              </w:rPr>
            </w:pPr>
            <w:r w:rsidRPr="009B4700">
              <w:rPr>
                <w:b/>
                <w:bCs/>
                <w:sz w:val="20"/>
                <w:szCs w:val="20"/>
              </w:rPr>
              <w:t>SECTION</w:t>
            </w:r>
          </w:p>
        </w:tc>
        <w:tc>
          <w:tcPr>
            <w:tcW w:w="540" w:type="dxa"/>
            <w:shd w:val="clear" w:color="auto" w:fill="D9D9D9" w:themeFill="background1" w:themeFillShade="D9"/>
          </w:tcPr>
          <w:p w14:paraId="44AF7013" w14:textId="2CEF3272" w:rsidR="00A609B7" w:rsidRPr="009B4700" w:rsidRDefault="00A609B7" w:rsidP="003C6D04">
            <w:pPr>
              <w:spacing w:after="60"/>
              <w:jc w:val="center"/>
              <w:rPr>
                <w:b/>
                <w:bCs/>
                <w:sz w:val="20"/>
                <w:szCs w:val="20"/>
              </w:rPr>
            </w:pPr>
            <w:r w:rsidRPr="009B4700">
              <w:rPr>
                <w:b/>
                <w:bCs/>
                <w:sz w:val="20"/>
                <w:szCs w:val="20"/>
              </w:rPr>
              <w:t>PG</w:t>
            </w:r>
          </w:p>
        </w:tc>
        <w:tc>
          <w:tcPr>
            <w:tcW w:w="4410" w:type="dxa"/>
            <w:vMerge/>
          </w:tcPr>
          <w:p w14:paraId="196B5316" w14:textId="77777777" w:rsidR="00A609B7" w:rsidRDefault="00A609B7" w:rsidP="003C6D04">
            <w:pPr>
              <w:spacing w:after="60"/>
            </w:pPr>
          </w:p>
        </w:tc>
        <w:tc>
          <w:tcPr>
            <w:tcW w:w="7290" w:type="dxa"/>
            <w:vMerge/>
            <w:shd w:val="clear" w:color="auto" w:fill="007681"/>
          </w:tcPr>
          <w:p w14:paraId="6A927E0D" w14:textId="30391DAE" w:rsidR="00A609B7" w:rsidRDefault="00A609B7" w:rsidP="003C6D04">
            <w:pPr>
              <w:spacing w:after="60"/>
            </w:pPr>
          </w:p>
        </w:tc>
      </w:tr>
      <w:tr w:rsidR="00A609B7" w14:paraId="7EBB808A" w14:textId="10FAA5D2" w:rsidTr="003C6D04">
        <w:tc>
          <w:tcPr>
            <w:tcW w:w="355" w:type="dxa"/>
            <w:shd w:val="clear" w:color="auto" w:fill="BFBFBF" w:themeFill="background1" w:themeFillShade="BF"/>
          </w:tcPr>
          <w:p w14:paraId="53B71EEF" w14:textId="7B6DF77E" w:rsidR="00A609B7" w:rsidRPr="00191914" w:rsidRDefault="00A609B7" w:rsidP="00D25BC5">
            <w:pPr>
              <w:spacing w:before="40" w:after="120"/>
              <w:rPr>
                <w:b/>
                <w:bCs/>
              </w:rPr>
            </w:pPr>
            <w:r w:rsidRPr="00191914">
              <w:rPr>
                <w:b/>
                <w:bCs/>
              </w:rPr>
              <w:t>1</w:t>
            </w:r>
          </w:p>
        </w:tc>
        <w:tc>
          <w:tcPr>
            <w:tcW w:w="1440" w:type="dxa"/>
            <w:shd w:val="clear" w:color="auto" w:fill="F2F2F2" w:themeFill="background1" w:themeFillShade="F2"/>
          </w:tcPr>
          <w:p w14:paraId="332A89C5" w14:textId="34875D7D" w:rsidR="00A609B7" w:rsidRPr="00D25BC5" w:rsidRDefault="00A609B7" w:rsidP="00D25BC5">
            <w:pPr>
              <w:spacing w:before="40" w:after="120"/>
              <w:rPr>
                <w:b/>
                <w:bCs/>
              </w:rPr>
            </w:pPr>
            <w:r w:rsidRPr="00D25BC5">
              <w:rPr>
                <w:b/>
                <w:bCs/>
              </w:rPr>
              <w:t>2.2</w:t>
            </w:r>
          </w:p>
        </w:tc>
        <w:tc>
          <w:tcPr>
            <w:tcW w:w="540" w:type="dxa"/>
            <w:shd w:val="clear" w:color="auto" w:fill="F2F2F2" w:themeFill="background1" w:themeFillShade="F2"/>
          </w:tcPr>
          <w:p w14:paraId="01F42755" w14:textId="79FA6278" w:rsidR="00A609B7" w:rsidRPr="00D25BC5" w:rsidRDefault="00A609B7" w:rsidP="00D25BC5">
            <w:pPr>
              <w:spacing w:before="40" w:after="120"/>
              <w:rPr>
                <w:b/>
                <w:bCs/>
              </w:rPr>
            </w:pPr>
            <w:r w:rsidRPr="00D25BC5">
              <w:rPr>
                <w:b/>
                <w:bCs/>
              </w:rPr>
              <w:t>14</w:t>
            </w:r>
          </w:p>
        </w:tc>
        <w:tc>
          <w:tcPr>
            <w:tcW w:w="4410" w:type="dxa"/>
          </w:tcPr>
          <w:p w14:paraId="0E95966A" w14:textId="3DF4F33F" w:rsidR="00A609B7" w:rsidRPr="00416ABE" w:rsidRDefault="00A609B7" w:rsidP="003C6D04">
            <w:pPr>
              <w:spacing w:before="40" w:after="40"/>
              <w:jc w:val="both"/>
            </w:pPr>
            <w:bookmarkStart w:id="2" w:name="_Hlk159851225"/>
            <w:r w:rsidRPr="00416ABE">
              <w:t>On average how many files does NYS send per day?</w:t>
            </w:r>
            <w:bookmarkEnd w:id="2"/>
          </w:p>
        </w:tc>
        <w:tc>
          <w:tcPr>
            <w:tcW w:w="7290" w:type="dxa"/>
            <w:shd w:val="clear" w:color="auto" w:fill="auto"/>
          </w:tcPr>
          <w:p w14:paraId="7AB82EBF" w14:textId="237A68F3" w:rsidR="00A609B7" w:rsidRPr="006C7C0C" w:rsidRDefault="00A609B7" w:rsidP="003C6D04">
            <w:pPr>
              <w:spacing w:before="40" w:after="40"/>
              <w:jc w:val="both"/>
              <w:rPr>
                <w:b/>
                <w:bCs/>
                <w:color w:val="1F3864" w:themeColor="accent1" w:themeShade="80"/>
              </w:rPr>
            </w:pPr>
            <w:r>
              <w:rPr>
                <w:b/>
                <w:bCs/>
                <w:color w:val="1F3864" w:themeColor="accent1" w:themeShade="80"/>
              </w:rPr>
              <w:t xml:space="preserve">In 2023, the Department sent </w:t>
            </w:r>
            <w:r w:rsidRPr="006C7C0C">
              <w:rPr>
                <w:b/>
                <w:bCs/>
                <w:color w:val="1F3864" w:themeColor="accent1" w:themeShade="80"/>
              </w:rPr>
              <w:t>approximately</w:t>
            </w:r>
            <w:r>
              <w:rPr>
                <w:b/>
                <w:bCs/>
                <w:color w:val="1F3864" w:themeColor="accent1" w:themeShade="80"/>
              </w:rPr>
              <w:t xml:space="preserve"> </w:t>
            </w:r>
            <w:r w:rsidRPr="006C7C0C">
              <w:rPr>
                <w:b/>
                <w:bCs/>
                <w:color w:val="1F3864" w:themeColor="accent1" w:themeShade="80"/>
              </w:rPr>
              <w:t xml:space="preserve">12 Check 21 ICL files per </w:t>
            </w:r>
            <w:r>
              <w:rPr>
                <w:b/>
                <w:bCs/>
                <w:color w:val="1F3864" w:themeColor="accent1" w:themeShade="80"/>
              </w:rPr>
              <w:t>Business D</w:t>
            </w:r>
            <w:r w:rsidRPr="006C7C0C">
              <w:rPr>
                <w:b/>
                <w:bCs/>
                <w:color w:val="1F3864" w:themeColor="accent1" w:themeShade="80"/>
              </w:rPr>
              <w:t xml:space="preserve">ay. </w:t>
            </w:r>
          </w:p>
        </w:tc>
      </w:tr>
      <w:tr w:rsidR="00A609B7" w14:paraId="38B598FD" w14:textId="06E63DD7" w:rsidTr="003C6D04">
        <w:trPr>
          <w:trHeight w:val="206"/>
        </w:trPr>
        <w:tc>
          <w:tcPr>
            <w:tcW w:w="355" w:type="dxa"/>
            <w:shd w:val="clear" w:color="auto" w:fill="BFBFBF" w:themeFill="background1" w:themeFillShade="BF"/>
          </w:tcPr>
          <w:p w14:paraId="7A3F274A" w14:textId="44BC915D" w:rsidR="00A609B7" w:rsidRPr="00191914" w:rsidRDefault="00A609B7" w:rsidP="00D25BC5">
            <w:pPr>
              <w:spacing w:before="40" w:after="120"/>
              <w:rPr>
                <w:b/>
                <w:bCs/>
              </w:rPr>
            </w:pPr>
            <w:r w:rsidRPr="00191914">
              <w:rPr>
                <w:b/>
                <w:bCs/>
              </w:rPr>
              <w:t>2</w:t>
            </w:r>
          </w:p>
        </w:tc>
        <w:tc>
          <w:tcPr>
            <w:tcW w:w="1440" w:type="dxa"/>
            <w:shd w:val="clear" w:color="auto" w:fill="F2F2F2" w:themeFill="background1" w:themeFillShade="F2"/>
          </w:tcPr>
          <w:p w14:paraId="63D33725" w14:textId="481A4FDD" w:rsidR="00A609B7" w:rsidRPr="00D25BC5" w:rsidRDefault="00A609B7" w:rsidP="00D25BC5">
            <w:pPr>
              <w:spacing w:before="40" w:after="120"/>
              <w:rPr>
                <w:b/>
                <w:bCs/>
              </w:rPr>
            </w:pPr>
            <w:r w:rsidRPr="00D25BC5">
              <w:rPr>
                <w:b/>
                <w:bCs/>
              </w:rPr>
              <w:t>2.2</w:t>
            </w:r>
          </w:p>
        </w:tc>
        <w:tc>
          <w:tcPr>
            <w:tcW w:w="540" w:type="dxa"/>
            <w:shd w:val="clear" w:color="auto" w:fill="F2F2F2" w:themeFill="background1" w:themeFillShade="F2"/>
          </w:tcPr>
          <w:p w14:paraId="38F76A9F" w14:textId="15A09EDE" w:rsidR="00A609B7" w:rsidRPr="00D25BC5" w:rsidRDefault="00A609B7" w:rsidP="00D25BC5">
            <w:pPr>
              <w:spacing w:before="40" w:after="120"/>
              <w:rPr>
                <w:b/>
                <w:bCs/>
              </w:rPr>
            </w:pPr>
            <w:r w:rsidRPr="00D25BC5">
              <w:rPr>
                <w:b/>
                <w:bCs/>
              </w:rPr>
              <w:t>14</w:t>
            </w:r>
          </w:p>
        </w:tc>
        <w:tc>
          <w:tcPr>
            <w:tcW w:w="4410" w:type="dxa"/>
          </w:tcPr>
          <w:p w14:paraId="06C229FC" w14:textId="79248FB3" w:rsidR="00A609B7" w:rsidRPr="00416ABE" w:rsidRDefault="00A609B7" w:rsidP="003C6D04">
            <w:pPr>
              <w:spacing w:before="40" w:after="40"/>
              <w:jc w:val="both"/>
            </w:pPr>
            <w:r w:rsidRPr="00416ABE">
              <w:t>What time of day are the files usually sent?</w:t>
            </w:r>
          </w:p>
        </w:tc>
        <w:tc>
          <w:tcPr>
            <w:tcW w:w="7290" w:type="dxa"/>
            <w:shd w:val="clear" w:color="auto" w:fill="auto"/>
          </w:tcPr>
          <w:p w14:paraId="49DF1CAC" w14:textId="088289D7" w:rsidR="00A609B7" w:rsidRPr="006C7C0C" w:rsidRDefault="00A609B7" w:rsidP="003C6D04">
            <w:pPr>
              <w:spacing w:before="40" w:after="40"/>
              <w:jc w:val="both"/>
              <w:rPr>
                <w:b/>
                <w:bCs/>
                <w:color w:val="1F3864" w:themeColor="accent1" w:themeShade="80"/>
              </w:rPr>
            </w:pPr>
            <w:r>
              <w:rPr>
                <w:b/>
                <w:bCs/>
                <w:color w:val="1F3864" w:themeColor="accent1" w:themeShade="80"/>
              </w:rPr>
              <w:t xml:space="preserve">The files are usually sent between </w:t>
            </w:r>
            <w:r w:rsidRPr="00E84611">
              <w:rPr>
                <w:b/>
                <w:bCs/>
                <w:color w:val="1F3864" w:themeColor="accent1" w:themeShade="80"/>
              </w:rPr>
              <w:t xml:space="preserve">7:00 AM </w:t>
            </w:r>
            <w:r>
              <w:rPr>
                <w:b/>
                <w:bCs/>
                <w:color w:val="1F3864" w:themeColor="accent1" w:themeShade="80"/>
              </w:rPr>
              <w:t xml:space="preserve">and </w:t>
            </w:r>
            <w:r w:rsidRPr="00E84611">
              <w:rPr>
                <w:b/>
                <w:bCs/>
                <w:color w:val="1F3864" w:themeColor="accent1" w:themeShade="80"/>
              </w:rPr>
              <w:t>12:30 PM ET</w:t>
            </w:r>
            <w:r>
              <w:rPr>
                <w:b/>
                <w:bCs/>
                <w:color w:val="1F3864" w:themeColor="accent1" w:themeShade="80"/>
              </w:rPr>
              <w:t xml:space="preserve">. In rare instances, the Department may need to send a file after 12:30 PM ET. </w:t>
            </w:r>
          </w:p>
        </w:tc>
      </w:tr>
      <w:tr w:rsidR="00A609B7" w14:paraId="15AD1142" w14:textId="0F5BDBD6" w:rsidTr="003C6D04">
        <w:trPr>
          <w:trHeight w:val="1007"/>
        </w:trPr>
        <w:tc>
          <w:tcPr>
            <w:tcW w:w="355" w:type="dxa"/>
            <w:shd w:val="clear" w:color="auto" w:fill="BFBFBF" w:themeFill="background1" w:themeFillShade="BF"/>
          </w:tcPr>
          <w:p w14:paraId="29BAFA67" w14:textId="1121688A" w:rsidR="00A609B7" w:rsidRPr="00191914" w:rsidRDefault="00A609B7" w:rsidP="00D25BC5">
            <w:pPr>
              <w:spacing w:before="40" w:after="120"/>
              <w:rPr>
                <w:b/>
                <w:bCs/>
              </w:rPr>
            </w:pPr>
            <w:r w:rsidRPr="00191914">
              <w:rPr>
                <w:b/>
                <w:bCs/>
              </w:rPr>
              <w:t>3</w:t>
            </w:r>
          </w:p>
        </w:tc>
        <w:tc>
          <w:tcPr>
            <w:tcW w:w="1440" w:type="dxa"/>
            <w:shd w:val="clear" w:color="auto" w:fill="F2F2F2" w:themeFill="background1" w:themeFillShade="F2"/>
          </w:tcPr>
          <w:p w14:paraId="052508C1" w14:textId="3476A7C1" w:rsidR="00A609B7" w:rsidRPr="00D25BC5" w:rsidRDefault="00A609B7" w:rsidP="00D25BC5">
            <w:pPr>
              <w:spacing w:before="40" w:after="120"/>
              <w:rPr>
                <w:b/>
                <w:bCs/>
              </w:rPr>
            </w:pPr>
            <w:r w:rsidRPr="00D25BC5">
              <w:rPr>
                <w:b/>
                <w:bCs/>
              </w:rPr>
              <w:t>2.2</w:t>
            </w:r>
          </w:p>
        </w:tc>
        <w:tc>
          <w:tcPr>
            <w:tcW w:w="540" w:type="dxa"/>
            <w:shd w:val="clear" w:color="auto" w:fill="F2F2F2" w:themeFill="background1" w:themeFillShade="F2"/>
          </w:tcPr>
          <w:p w14:paraId="78CD8497" w14:textId="4DFB5522" w:rsidR="00A609B7" w:rsidRPr="00D25BC5" w:rsidRDefault="00A609B7" w:rsidP="00D25BC5">
            <w:pPr>
              <w:spacing w:before="40" w:after="120"/>
              <w:rPr>
                <w:b/>
                <w:bCs/>
              </w:rPr>
            </w:pPr>
            <w:r w:rsidRPr="00D25BC5">
              <w:rPr>
                <w:b/>
                <w:bCs/>
              </w:rPr>
              <w:t>14</w:t>
            </w:r>
          </w:p>
        </w:tc>
        <w:tc>
          <w:tcPr>
            <w:tcW w:w="4410" w:type="dxa"/>
          </w:tcPr>
          <w:p w14:paraId="7F6482B2" w14:textId="0AA9C1BD" w:rsidR="00A609B7" w:rsidRPr="00416ABE" w:rsidRDefault="00A609B7" w:rsidP="003C6D04">
            <w:pPr>
              <w:spacing w:before="40" w:after="40"/>
              <w:jc w:val="both"/>
            </w:pPr>
            <w:r w:rsidRPr="00416ABE">
              <w:t xml:space="preserve">Please provide a percentage of items sent of the total days volume for each file. For example if 1000 items are sent each day what </w:t>
            </w:r>
            <w:proofErr w:type="gramStart"/>
            <w:r w:rsidRPr="00416ABE">
              <w:t>is the percentage of the 1000 items</w:t>
            </w:r>
            <w:proofErr w:type="gramEnd"/>
            <w:r w:rsidRPr="00416ABE">
              <w:t xml:space="preserve"> is sent in the first file, second file, etc.</w:t>
            </w:r>
          </w:p>
        </w:tc>
        <w:tc>
          <w:tcPr>
            <w:tcW w:w="7290" w:type="dxa"/>
            <w:shd w:val="clear" w:color="auto" w:fill="auto"/>
          </w:tcPr>
          <w:p w14:paraId="520D630E" w14:textId="7BB3BB87" w:rsidR="00A609B7" w:rsidRPr="006C7C0C" w:rsidRDefault="00A609B7" w:rsidP="003C6D04">
            <w:pPr>
              <w:spacing w:before="40" w:after="40"/>
              <w:jc w:val="both"/>
              <w:rPr>
                <w:b/>
                <w:bCs/>
                <w:color w:val="1F3864" w:themeColor="accent1" w:themeShade="80"/>
              </w:rPr>
            </w:pPr>
            <w:r w:rsidRPr="006C7C0C">
              <w:rPr>
                <w:b/>
                <w:bCs/>
                <w:color w:val="1F3864" w:themeColor="accent1" w:themeShade="80"/>
              </w:rPr>
              <w:t>There is no identifiable trend. The order of the deposits change</w:t>
            </w:r>
            <w:r>
              <w:rPr>
                <w:b/>
                <w:bCs/>
                <w:color w:val="1F3864" w:themeColor="accent1" w:themeShade="80"/>
              </w:rPr>
              <w:t>s</w:t>
            </w:r>
            <w:r w:rsidRPr="006C7C0C">
              <w:rPr>
                <w:b/>
                <w:bCs/>
                <w:color w:val="1F3864" w:themeColor="accent1" w:themeShade="80"/>
              </w:rPr>
              <w:t xml:space="preserve"> based on numerous internal and external factors. </w:t>
            </w:r>
            <w:r>
              <w:rPr>
                <w:b/>
                <w:bCs/>
                <w:color w:val="1F3864" w:themeColor="accent1" w:themeShade="80"/>
              </w:rPr>
              <w:t xml:space="preserve">The volume is higher during March and April peak dates (See RFP Exhibit D, </w:t>
            </w:r>
            <w:r w:rsidRPr="00866792">
              <w:rPr>
                <w:b/>
                <w:bCs/>
                <w:i/>
                <w:iCs/>
                <w:color w:val="1F3864" w:themeColor="accent1" w:themeShade="80"/>
              </w:rPr>
              <w:t>Peak Dates Calendar</w:t>
            </w:r>
            <w:r>
              <w:rPr>
                <w:b/>
                <w:bCs/>
                <w:color w:val="1F3864" w:themeColor="accent1" w:themeShade="80"/>
              </w:rPr>
              <w:t xml:space="preserve">). </w:t>
            </w:r>
          </w:p>
        </w:tc>
      </w:tr>
      <w:tr w:rsidR="00A609B7" w14:paraId="56EC8D3F" w14:textId="669DE068" w:rsidTr="003C6D04">
        <w:tc>
          <w:tcPr>
            <w:tcW w:w="355" w:type="dxa"/>
            <w:shd w:val="clear" w:color="auto" w:fill="BFBFBF" w:themeFill="background1" w:themeFillShade="BF"/>
          </w:tcPr>
          <w:p w14:paraId="32FFBCC6" w14:textId="3A408931" w:rsidR="00A609B7" w:rsidRPr="00191914" w:rsidRDefault="00A609B7" w:rsidP="00D25BC5">
            <w:pPr>
              <w:spacing w:before="40" w:after="120"/>
              <w:rPr>
                <w:b/>
                <w:bCs/>
              </w:rPr>
            </w:pPr>
            <w:r>
              <w:rPr>
                <w:b/>
                <w:bCs/>
              </w:rPr>
              <w:t>4</w:t>
            </w:r>
          </w:p>
        </w:tc>
        <w:tc>
          <w:tcPr>
            <w:tcW w:w="1440" w:type="dxa"/>
            <w:shd w:val="clear" w:color="auto" w:fill="F2F2F2" w:themeFill="background1" w:themeFillShade="F2"/>
          </w:tcPr>
          <w:p w14:paraId="17F9BAC5" w14:textId="7B9DCE87" w:rsidR="00A609B7" w:rsidRPr="00D25BC5" w:rsidRDefault="00A609B7" w:rsidP="00D25BC5">
            <w:pPr>
              <w:spacing w:before="40" w:after="120"/>
              <w:rPr>
                <w:b/>
                <w:bCs/>
              </w:rPr>
            </w:pPr>
            <w:r w:rsidRPr="00D25BC5">
              <w:rPr>
                <w:b/>
                <w:bCs/>
              </w:rPr>
              <w:t>Table 2.1 |  #2.1</w:t>
            </w:r>
          </w:p>
        </w:tc>
        <w:tc>
          <w:tcPr>
            <w:tcW w:w="540" w:type="dxa"/>
            <w:shd w:val="clear" w:color="auto" w:fill="F2F2F2" w:themeFill="background1" w:themeFillShade="F2"/>
          </w:tcPr>
          <w:p w14:paraId="627ECBF1" w14:textId="70091A29" w:rsidR="00A609B7" w:rsidRPr="00D25BC5" w:rsidRDefault="00A609B7" w:rsidP="00D25BC5">
            <w:pPr>
              <w:spacing w:before="40" w:after="120"/>
              <w:rPr>
                <w:b/>
                <w:bCs/>
              </w:rPr>
            </w:pPr>
            <w:r w:rsidRPr="00D25BC5">
              <w:rPr>
                <w:b/>
                <w:bCs/>
              </w:rPr>
              <w:t>14</w:t>
            </w:r>
          </w:p>
        </w:tc>
        <w:tc>
          <w:tcPr>
            <w:tcW w:w="4410" w:type="dxa"/>
          </w:tcPr>
          <w:p w14:paraId="3562B51E" w14:textId="728696F5" w:rsidR="00A609B7" w:rsidRPr="00416ABE" w:rsidRDefault="00A609B7" w:rsidP="003C6D04">
            <w:pPr>
              <w:spacing w:before="40" w:after="40"/>
              <w:jc w:val="both"/>
            </w:pPr>
            <w:r w:rsidRPr="00416ABE">
              <w:t>How many ICL file transmissions do you expect to send each month?</w:t>
            </w:r>
          </w:p>
        </w:tc>
        <w:tc>
          <w:tcPr>
            <w:tcW w:w="7290" w:type="dxa"/>
            <w:shd w:val="clear" w:color="auto" w:fill="auto"/>
          </w:tcPr>
          <w:p w14:paraId="51B6EB31" w14:textId="46DF6686" w:rsidR="00A609B7" w:rsidRPr="006C7C0C" w:rsidRDefault="00A609B7" w:rsidP="003C6D04">
            <w:pPr>
              <w:spacing w:before="40" w:after="40"/>
              <w:jc w:val="both"/>
              <w:rPr>
                <w:b/>
                <w:bCs/>
                <w:color w:val="1F3864" w:themeColor="accent1" w:themeShade="80"/>
              </w:rPr>
            </w:pPr>
            <w:r w:rsidRPr="006C7C0C">
              <w:rPr>
                <w:b/>
                <w:bCs/>
                <w:color w:val="1F3864" w:themeColor="accent1" w:themeShade="80"/>
              </w:rPr>
              <w:t xml:space="preserve">In 2023, the Department sent approximately 230 Check 21 ICL files per month. </w:t>
            </w:r>
            <w:r w:rsidRPr="008F712A">
              <w:rPr>
                <w:b/>
                <w:bCs/>
                <w:color w:val="002060"/>
              </w:rPr>
              <w:t xml:space="preserve">The Department expects this trend to continue. </w:t>
            </w:r>
          </w:p>
        </w:tc>
      </w:tr>
      <w:tr w:rsidR="00A609B7" w14:paraId="7FD91185" w14:textId="7169A8D7" w:rsidTr="003C6D04">
        <w:tc>
          <w:tcPr>
            <w:tcW w:w="355" w:type="dxa"/>
            <w:shd w:val="clear" w:color="auto" w:fill="BFBFBF" w:themeFill="background1" w:themeFillShade="BF"/>
          </w:tcPr>
          <w:p w14:paraId="183C2CFB" w14:textId="5F78BC7A" w:rsidR="00A609B7" w:rsidRDefault="00A609B7" w:rsidP="00D25BC5">
            <w:pPr>
              <w:spacing w:before="40" w:after="120"/>
              <w:rPr>
                <w:b/>
                <w:bCs/>
              </w:rPr>
            </w:pPr>
            <w:r>
              <w:rPr>
                <w:b/>
                <w:bCs/>
              </w:rPr>
              <w:t>5</w:t>
            </w:r>
          </w:p>
        </w:tc>
        <w:tc>
          <w:tcPr>
            <w:tcW w:w="1440" w:type="dxa"/>
            <w:shd w:val="clear" w:color="auto" w:fill="F2F2F2" w:themeFill="background1" w:themeFillShade="F2"/>
          </w:tcPr>
          <w:p w14:paraId="579662C3" w14:textId="27749CD1" w:rsidR="00A609B7" w:rsidRPr="00D25BC5" w:rsidRDefault="00A609B7" w:rsidP="00D25BC5">
            <w:pPr>
              <w:spacing w:before="40" w:after="120"/>
              <w:rPr>
                <w:b/>
                <w:bCs/>
              </w:rPr>
            </w:pPr>
            <w:r w:rsidRPr="00D25BC5">
              <w:rPr>
                <w:b/>
                <w:bCs/>
              </w:rPr>
              <w:t>Table 2.1 | #4.1</w:t>
            </w:r>
          </w:p>
        </w:tc>
        <w:tc>
          <w:tcPr>
            <w:tcW w:w="540" w:type="dxa"/>
            <w:shd w:val="clear" w:color="auto" w:fill="F2F2F2" w:themeFill="background1" w:themeFillShade="F2"/>
          </w:tcPr>
          <w:p w14:paraId="3F57BAEA" w14:textId="3FB0D79E" w:rsidR="00A609B7" w:rsidRPr="00D25BC5" w:rsidRDefault="00A609B7" w:rsidP="00D25BC5">
            <w:pPr>
              <w:spacing w:before="40" w:after="120"/>
              <w:rPr>
                <w:b/>
                <w:bCs/>
              </w:rPr>
            </w:pPr>
            <w:r w:rsidRPr="00D25BC5">
              <w:rPr>
                <w:b/>
                <w:bCs/>
              </w:rPr>
              <w:t>16</w:t>
            </w:r>
          </w:p>
        </w:tc>
        <w:tc>
          <w:tcPr>
            <w:tcW w:w="4410" w:type="dxa"/>
          </w:tcPr>
          <w:p w14:paraId="23AA8850" w14:textId="695E2A5A" w:rsidR="00A609B7" w:rsidRPr="00416ABE" w:rsidRDefault="00A609B7" w:rsidP="003C6D04">
            <w:pPr>
              <w:spacing w:before="40" w:after="40"/>
              <w:jc w:val="both"/>
            </w:pPr>
            <w:r w:rsidRPr="00416ABE">
              <w:t>How many manual deposits do you expect to submit each month?</w:t>
            </w:r>
          </w:p>
        </w:tc>
        <w:tc>
          <w:tcPr>
            <w:tcW w:w="7290" w:type="dxa"/>
            <w:shd w:val="clear" w:color="auto" w:fill="auto"/>
          </w:tcPr>
          <w:p w14:paraId="7D7F2B79" w14:textId="76921F6C" w:rsidR="00595AEC" w:rsidRPr="006C7C0C" w:rsidRDefault="00595AEC" w:rsidP="003C6D04">
            <w:pPr>
              <w:spacing w:before="40" w:after="40"/>
              <w:jc w:val="both"/>
              <w:rPr>
                <w:b/>
                <w:bCs/>
                <w:color w:val="1F3864" w:themeColor="accent1" w:themeShade="80"/>
              </w:rPr>
            </w:pPr>
            <w:r w:rsidRPr="00595AEC">
              <w:rPr>
                <w:b/>
                <w:bCs/>
                <w:color w:val="1F3864" w:themeColor="accent1" w:themeShade="80"/>
              </w:rPr>
              <w:t>In 2023, the Department submitted approximately 40 Manual Deposits per month. Included in these Manual Deposits were approximately 95 deposit slips, broken out by tax type and account number. The total number of Original Checks included in these Manual Deposits was approximately 830.</w:t>
            </w:r>
          </w:p>
        </w:tc>
      </w:tr>
      <w:tr w:rsidR="00A609B7" w14:paraId="4D945864" w14:textId="12B3CC67" w:rsidTr="003C6D04">
        <w:tc>
          <w:tcPr>
            <w:tcW w:w="355" w:type="dxa"/>
            <w:shd w:val="clear" w:color="auto" w:fill="BFBFBF" w:themeFill="background1" w:themeFillShade="BF"/>
          </w:tcPr>
          <w:p w14:paraId="2B7BCEDE" w14:textId="759D97AB" w:rsidR="00A609B7" w:rsidRPr="00191914" w:rsidRDefault="00A609B7" w:rsidP="00D25BC5">
            <w:pPr>
              <w:spacing w:before="40" w:after="120"/>
              <w:rPr>
                <w:b/>
                <w:bCs/>
              </w:rPr>
            </w:pPr>
            <w:bookmarkStart w:id="3" w:name="_Hlk159504218"/>
            <w:r>
              <w:rPr>
                <w:b/>
                <w:bCs/>
              </w:rPr>
              <w:t>6</w:t>
            </w:r>
          </w:p>
        </w:tc>
        <w:tc>
          <w:tcPr>
            <w:tcW w:w="1440" w:type="dxa"/>
            <w:shd w:val="clear" w:color="auto" w:fill="F2F2F2" w:themeFill="background1" w:themeFillShade="F2"/>
          </w:tcPr>
          <w:p w14:paraId="47BBF5D6" w14:textId="470E621E" w:rsidR="00A609B7" w:rsidRPr="00D25BC5" w:rsidRDefault="00A609B7" w:rsidP="00D25BC5">
            <w:pPr>
              <w:spacing w:before="40" w:after="120"/>
              <w:rPr>
                <w:b/>
                <w:bCs/>
              </w:rPr>
            </w:pPr>
            <w:r w:rsidRPr="00D25BC5">
              <w:rPr>
                <w:b/>
                <w:bCs/>
              </w:rPr>
              <w:t>2.5</w:t>
            </w:r>
          </w:p>
        </w:tc>
        <w:tc>
          <w:tcPr>
            <w:tcW w:w="540" w:type="dxa"/>
            <w:shd w:val="clear" w:color="auto" w:fill="F2F2F2" w:themeFill="background1" w:themeFillShade="F2"/>
          </w:tcPr>
          <w:p w14:paraId="10D2EEC2" w14:textId="3DFDD2D1" w:rsidR="00A609B7" w:rsidRPr="00D25BC5" w:rsidRDefault="00A609B7" w:rsidP="00D25BC5">
            <w:pPr>
              <w:spacing w:before="40" w:after="120"/>
              <w:rPr>
                <w:b/>
                <w:bCs/>
              </w:rPr>
            </w:pPr>
            <w:r w:rsidRPr="00D25BC5">
              <w:rPr>
                <w:b/>
                <w:bCs/>
              </w:rPr>
              <w:t>52</w:t>
            </w:r>
          </w:p>
        </w:tc>
        <w:tc>
          <w:tcPr>
            <w:tcW w:w="4410" w:type="dxa"/>
          </w:tcPr>
          <w:p w14:paraId="071E3E0E" w14:textId="2D7A1EF1" w:rsidR="00A609B7" w:rsidRPr="00416ABE" w:rsidRDefault="00A609B7" w:rsidP="003C6D04">
            <w:pPr>
              <w:spacing w:before="40" w:after="40"/>
              <w:jc w:val="both"/>
            </w:pPr>
            <w:r w:rsidRPr="00416ABE">
              <w:t>Would a link to our annual report or financial statements be acceptable?</w:t>
            </w:r>
          </w:p>
        </w:tc>
        <w:tc>
          <w:tcPr>
            <w:tcW w:w="7290" w:type="dxa"/>
            <w:shd w:val="clear" w:color="auto" w:fill="auto"/>
          </w:tcPr>
          <w:p w14:paraId="5965130C" w14:textId="353BBA57" w:rsidR="00A609B7" w:rsidRDefault="00A609B7" w:rsidP="003C6D04">
            <w:pPr>
              <w:spacing w:before="40" w:after="40"/>
              <w:jc w:val="both"/>
              <w:rPr>
                <w:b/>
                <w:bCs/>
                <w:color w:val="1F3864"/>
              </w:rPr>
            </w:pPr>
            <w:r>
              <w:rPr>
                <w:b/>
                <w:bCs/>
                <w:color w:val="1F3864"/>
              </w:rPr>
              <w:t xml:space="preserve">A link would be acceptable; however this information should not be submitted with your Proposal. The information will be requested by the Department from the Tentative Awardee upon Notification of Intent to Award. </w:t>
            </w:r>
          </w:p>
          <w:p w14:paraId="16B5403F" w14:textId="21603F8F" w:rsidR="003C6D04" w:rsidRPr="003C6D04" w:rsidRDefault="00A609B7" w:rsidP="003C6D04">
            <w:pPr>
              <w:spacing w:before="40" w:after="40"/>
              <w:jc w:val="both"/>
              <w:rPr>
                <w:b/>
                <w:bCs/>
                <w:color w:val="1F3864"/>
              </w:rPr>
            </w:pPr>
            <w:r>
              <w:rPr>
                <w:b/>
                <w:bCs/>
                <w:color w:val="1F3864"/>
              </w:rPr>
              <w:t>As stated in RFP Section 6.2.3, “</w:t>
            </w:r>
            <w:r>
              <w:rPr>
                <w:b/>
                <w:bCs/>
                <w:i/>
                <w:iCs/>
                <w:color w:val="1F3864"/>
              </w:rPr>
              <w:t>The Department will conduct an evaluation of the financial stability of the entity(</w:t>
            </w:r>
            <w:proofErr w:type="spellStart"/>
            <w:r>
              <w:rPr>
                <w:b/>
                <w:bCs/>
                <w:i/>
                <w:iCs/>
                <w:color w:val="1F3864"/>
              </w:rPr>
              <w:t>ies</w:t>
            </w:r>
            <w:proofErr w:type="spellEnd"/>
            <w:r>
              <w:rPr>
                <w:b/>
                <w:bCs/>
                <w:i/>
                <w:iCs/>
                <w:color w:val="1F3864"/>
              </w:rPr>
              <w:t>) that submitted the highest ranked Bid, as outlined in Section 2.5, Financial Stability Requirements.</w:t>
            </w:r>
            <w:r>
              <w:rPr>
                <w:b/>
                <w:bCs/>
                <w:color w:val="1F3864"/>
              </w:rPr>
              <w:t>”</w:t>
            </w:r>
          </w:p>
        </w:tc>
      </w:tr>
      <w:bookmarkEnd w:id="3"/>
      <w:tr w:rsidR="00A609B7" w14:paraId="78A17B37" w14:textId="426E6689" w:rsidTr="003C6D04">
        <w:tc>
          <w:tcPr>
            <w:tcW w:w="355" w:type="dxa"/>
            <w:shd w:val="clear" w:color="auto" w:fill="BFBFBF" w:themeFill="background1" w:themeFillShade="BF"/>
          </w:tcPr>
          <w:p w14:paraId="4F0FCD0B" w14:textId="0E658D7C" w:rsidR="00A609B7" w:rsidRPr="00191914" w:rsidRDefault="00A609B7" w:rsidP="00295F98">
            <w:pPr>
              <w:spacing w:before="40"/>
              <w:rPr>
                <w:b/>
                <w:bCs/>
              </w:rPr>
            </w:pPr>
            <w:r>
              <w:rPr>
                <w:b/>
                <w:bCs/>
              </w:rPr>
              <w:t>7</w:t>
            </w:r>
          </w:p>
        </w:tc>
        <w:tc>
          <w:tcPr>
            <w:tcW w:w="1440" w:type="dxa"/>
            <w:shd w:val="clear" w:color="auto" w:fill="F2F2F2" w:themeFill="background1" w:themeFillShade="F2"/>
          </w:tcPr>
          <w:p w14:paraId="2C39FB3C" w14:textId="2107C9A3" w:rsidR="00A609B7" w:rsidRPr="00D25BC5" w:rsidRDefault="00A609B7" w:rsidP="00295F98">
            <w:pPr>
              <w:spacing w:before="40" w:after="120"/>
              <w:rPr>
                <w:b/>
                <w:bCs/>
              </w:rPr>
            </w:pPr>
            <w:r w:rsidRPr="00D25BC5">
              <w:rPr>
                <w:b/>
                <w:bCs/>
              </w:rPr>
              <w:t>Attachment 22</w:t>
            </w:r>
          </w:p>
        </w:tc>
        <w:tc>
          <w:tcPr>
            <w:tcW w:w="540" w:type="dxa"/>
            <w:shd w:val="clear" w:color="auto" w:fill="F2F2F2" w:themeFill="background1" w:themeFillShade="F2"/>
          </w:tcPr>
          <w:p w14:paraId="4767F747" w14:textId="4D8D711E" w:rsidR="00A609B7" w:rsidRPr="00D25BC5" w:rsidRDefault="00A609B7" w:rsidP="00295F98">
            <w:pPr>
              <w:spacing w:before="40" w:after="120"/>
              <w:rPr>
                <w:b/>
                <w:bCs/>
              </w:rPr>
            </w:pPr>
            <w:r w:rsidRPr="00D25BC5">
              <w:rPr>
                <w:b/>
                <w:bCs/>
              </w:rPr>
              <w:t>32</w:t>
            </w:r>
          </w:p>
        </w:tc>
        <w:tc>
          <w:tcPr>
            <w:tcW w:w="4410" w:type="dxa"/>
          </w:tcPr>
          <w:p w14:paraId="7A862765" w14:textId="4101CEA1" w:rsidR="00A609B7" w:rsidRPr="00416ABE" w:rsidRDefault="00A609B7" w:rsidP="00295F98">
            <w:pPr>
              <w:spacing w:before="40" w:after="120"/>
              <w:jc w:val="both"/>
            </w:pPr>
            <w:r w:rsidRPr="00416ABE">
              <w:t>Can you provide a breakdown of the Manual Deposits by checks drawn in USD, Canadian checks in USD and check drawn on banks other than the U.S. or Canada?</w:t>
            </w:r>
          </w:p>
        </w:tc>
        <w:tc>
          <w:tcPr>
            <w:tcW w:w="7290" w:type="dxa"/>
            <w:shd w:val="clear" w:color="auto" w:fill="auto"/>
          </w:tcPr>
          <w:p w14:paraId="6D0617DA" w14:textId="22E79B6D" w:rsidR="00A609B7" w:rsidRPr="00FB2398" w:rsidRDefault="00A609B7" w:rsidP="00295F98">
            <w:pPr>
              <w:spacing w:before="40" w:after="60"/>
              <w:jc w:val="both"/>
              <w:rPr>
                <w:b/>
                <w:bCs/>
                <w:color w:val="1F3864" w:themeColor="accent1" w:themeShade="80"/>
              </w:rPr>
            </w:pPr>
            <w:r w:rsidRPr="00FB2398">
              <w:rPr>
                <w:b/>
                <w:bCs/>
                <w:color w:val="1F3864" w:themeColor="accent1" w:themeShade="80"/>
              </w:rPr>
              <w:t xml:space="preserve">The </w:t>
            </w:r>
            <w:r>
              <w:rPr>
                <w:b/>
                <w:bCs/>
                <w:color w:val="1F3864" w:themeColor="accent1" w:themeShade="80"/>
              </w:rPr>
              <w:t xml:space="preserve">approximate </w:t>
            </w:r>
            <w:r w:rsidRPr="00FB2398">
              <w:rPr>
                <w:b/>
                <w:bCs/>
                <w:color w:val="1F3864" w:themeColor="accent1" w:themeShade="80"/>
              </w:rPr>
              <w:t>breakdown is shown in the following table</w:t>
            </w:r>
            <w:r>
              <w:rPr>
                <w:b/>
                <w:bCs/>
                <w:color w:val="1F3864" w:themeColor="accent1" w:themeShade="80"/>
              </w:rPr>
              <w:t>:</w:t>
            </w:r>
          </w:p>
          <w:tbl>
            <w:tblPr>
              <w:tblStyle w:val="TableGrid"/>
              <w:tblW w:w="6367" w:type="dxa"/>
              <w:jc w:val="right"/>
              <w:tblLayout w:type="fixed"/>
              <w:tblLook w:val="04A0" w:firstRow="1" w:lastRow="0" w:firstColumn="1" w:lastColumn="0" w:noHBand="0" w:noVBand="1"/>
            </w:tblPr>
            <w:tblGrid>
              <w:gridCol w:w="5465"/>
              <w:gridCol w:w="902"/>
            </w:tblGrid>
            <w:tr w:rsidR="00A609B7" w14:paraId="2CAE406B" w14:textId="77777777" w:rsidTr="00C10D77">
              <w:trPr>
                <w:jc w:val="right"/>
              </w:trPr>
              <w:tc>
                <w:tcPr>
                  <w:tcW w:w="5465" w:type="dxa"/>
                  <w:shd w:val="clear" w:color="auto" w:fill="F2F2F2" w:themeFill="background1" w:themeFillShade="F2"/>
                </w:tcPr>
                <w:p w14:paraId="61B32443" w14:textId="1EA5FB81" w:rsidR="00A609B7" w:rsidRPr="003C6D04" w:rsidRDefault="00A609B7" w:rsidP="00295F98">
                  <w:pPr>
                    <w:spacing w:before="40" w:after="40"/>
                    <w:rPr>
                      <w:b/>
                      <w:bCs/>
                      <w:i/>
                      <w:iCs/>
                      <w:color w:val="1F3864" w:themeColor="accent1" w:themeShade="80"/>
                      <w:sz w:val="20"/>
                      <w:szCs w:val="20"/>
                    </w:rPr>
                  </w:pPr>
                  <w:r w:rsidRPr="003C6D04">
                    <w:rPr>
                      <w:b/>
                      <w:bCs/>
                      <w:color w:val="1F3864" w:themeColor="accent1" w:themeShade="80"/>
                      <w:sz w:val="20"/>
                      <w:szCs w:val="20"/>
                    </w:rPr>
                    <w:t>US Check in USD</w:t>
                  </w:r>
                </w:p>
              </w:tc>
              <w:tc>
                <w:tcPr>
                  <w:tcW w:w="902" w:type="dxa"/>
                  <w:shd w:val="clear" w:color="auto" w:fill="F2F2F2" w:themeFill="background1" w:themeFillShade="F2"/>
                </w:tcPr>
                <w:p w14:paraId="30830046" w14:textId="2F60F136" w:rsidR="00A609B7" w:rsidRPr="003C6D04" w:rsidRDefault="00A609B7" w:rsidP="00C10D77">
                  <w:pPr>
                    <w:spacing w:before="40" w:after="40"/>
                    <w:jc w:val="center"/>
                    <w:rPr>
                      <w:b/>
                      <w:bCs/>
                      <w:color w:val="1F3864" w:themeColor="accent1" w:themeShade="80"/>
                      <w:sz w:val="20"/>
                      <w:szCs w:val="20"/>
                    </w:rPr>
                  </w:pPr>
                  <w:r w:rsidRPr="003C6D04">
                    <w:rPr>
                      <w:b/>
                      <w:bCs/>
                      <w:color w:val="1F3864" w:themeColor="accent1" w:themeShade="80"/>
                      <w:sz w:val="20"/>
                      <w:szCs w:val="20"/>
                    </w:rPr>
                    <w:t>13%</w:t>
                  </w:r>
                </w:p>
              </w:tc>
            </w:tr>
            <w:tr w:rsidR="00A609B7" w14:paraId="25B64A1B" w14:textId="77777777" w:rsidTr="00C10D77">
              <w:trPr>
                <w:jc w:val="right"/>
              </w:trPr>
              <w:tc>
                <w:tcPr>
                  <w:tcW w:w="5465" w:type="dxa"/>
                  <w:shd w:val="clear" w:color="auto" w:fill="F2F2F2" w:themeFill="background1" w:themeFillShade="F2"/>
                </w:tcPr>
                <w:p w14:paraId="33EA0B2F" w14:textId="6096B1EC" w:rsidR="00A609B7" w:rsidRPr="003C6D04" w:rsidRDefault="00A609B7" w:rsidP="00295F98">
                  <w:pPr>
                    <w:spacing w:before="40" w:after="40"/>
                    <w:rPr>
                      <w:b/>
                      <w:bCs/>
                      <w:i/>
                      <w:iCs/>
                      <w:color w:val="1F3864" w:themeColor="accent1" w:themeShade="80"/>
                      <w:sz w:val="20"/>
                      <w:szCs w:val="20"/>
                    </w:rPr>
                  </w:pPr>
                  <w:r w:rsidRPr="003C6D04">
                    <w:rPr>
                      <w:b/>
                      <w:bCs/>
                      <w:color w:val="1F3864" w:themeColor="accent1" w:themeShade="80"/>
                      <w:sz w:val="20"/>
                      <w:szCs w:val="20"/>
                    </w:rPr>
                    <w:t>Canadian Banks in USD &amp; Other Foreign Banks in USD</w:t>
                  </w:r>
                </w:p>
              </w:tc>
              <w:tc>
                <w:tcPr>
                  <w:tcW w:w="902" w:type="dxa"/>
                  <w:shd w:val="clear" w:color="auto" w:fill="F2F2F2" w:themeFill="background1" w:themeFillShade="F2"/>
                </w:tcPr>
                <w:p w14:paraId="34BBDA66" w14:textId="0BD906D0" w:rsidR="00A609B7" w:rsidRPr="003C6D04" w:rsidRDefault="00A609B7" w:rsidP="00C10D77">
                  <w:pPr>
                    <w:spacing w:before="40" w:after="40"/>
                    <w:jc w:val="center"/>
                    <w:rPr>
                      <w:b/>
                      <w:bCs/>
                      <w:color w:val="1F3864" w:themeColor="accent1" w:themeShade="80"/>
                      <w:sz w:val="20"/>
                      <w:szCs w:val="20"/>
                    </w:rPr>
                  </w:pPr>
                  <w:r w:rsidRPr="003C6D04">
                    <w:rPr>
                      <w:b/>
                      <w:bCs/>
                      <w:color w:val="1F3864" w:themeColor="accent1" w:themeShade="80"/>
                      <w:sz w:val="20"/>
                      <w:szCs w:val="20"/>
                    </w:rPr>
                    <w:t>87%</w:t>
                  </w:r>
                </w:p>
              </w:tc>
            </w:tr>
            <w:tr w:rsidR="00A609B7" w14:paraId="5EE1AEDF" w14:textId="77777777" w:rsidTr="00C10D77">
              <w:trPr>
                <w:jc w:val="right"/>
              </w:trPr>
              <w:tc>
                <w:tcPr>
                  <w:tcW w:w="5465" w:type="dxa"/>
                  <w:shd w:val="clear" w:color="auto" w:fill="F2F2F2" w:themeFill="background1" w:themeFillShade="F2"/>
                </w:tcPr>
                <w:p w14:paraId="5D45B97C" w14:textId="4948F20F" w:rsidR="00A609B7" w:rsidRPr="003C6D04" w:rsidRDefault="00A609B7" w:rsidP="00295F98">
                  <w:pPr>
                    <w:spacing w:before="40" w:after="40"/>
                    <w:rPr>
                      <w:b/>
                      <w:bCs/>
                      <w:i/>
                      <w:iCs/>
                      <w:color w:val="1F3864" w:themeColor="accent1" w:themeShade="80"/>
                      <w:sz w:val="20"/>
                      <w:szCs w:val="20"/>
                    </w:rPr>
                  </w:pPr>
                  <w:r w:rsidRPr="003C6D04">
                    <w:rPr>
                      <w:b/>
                      <w:bCs/>
                      <w:color w:val="1F3864" w:themeColor="accent1" w:themeShade="80"/>
                      <w:sz w:val="20"/>
                      <w:szCs w:val="20"/>
                    </w:rPr>
                    <w:t>Foreign Check in Foreign Currency</w:t>
                  </w:r>
                </w:p>
              </w:tc>
              <w:tc>
                <w:tcPr>
                  <w:tcW w:w="902" w:type="dxa"/>
                  <w:shd w:val="clear" w:color="auto" w:fill="F2F2F2" w:themeFill="background1" w:themeFillShade="F2"/>
                </w:tcPr>
                <w:p w14:paraId="56E9B56B" w14:textId="45090315" w:rsidR="00A609B7" w:rsidRPr="003C6D04" w:rsidRDefault="00A609B7" w:rsidP="00C10D77">
                  <w:pPr>
                    <w:spacing w:before="40" w:after="40"/>
                    <w:jc w:val="center"/>
                    <w:rPr>
                      <w:b/>
                      <w:bCs/>
                      <w:color w:val="1F3864" w:themeColor="accent1" w:themeShade="80"/>
                      <w:sz w:val="20"/>
                      <w:szCs w:val="20"/>
                    </w:rPr>
                  </w:pPr>
                  <w:r w:rsidRPr="003C6D04">
                    <w:rPr>
                      <w:b/>
                      <w:bCs/>
                      <w:color w:val="1F3864" w:themeColor="accent1" w:themeShade="80"/>
                      <w:sz w:val="20"/>
                      <w:szCs w:val="20"/>
                    </w:rPr>
                    <w:t>0.2%</w:t>
                  </w:r>
                </w:p>
              </w:tc>
            </w:tr>
          </w:tbl>
          <w:p w14:paraId="206071B5" w14:textId="439022D6" w:rsidR="00A609B7" w:rsidRPr="009B4700" w:rsidRDefault="00A609B7" w:rsidP="003C6D04">
            <w:pPr>
              <w:spacing w:before="60" w:after="40"/>
              <w:jc w:val="both"/>
              <w:rPr>
                <w:b/>
                <w:bCs/>
                <w:i/>
                <w:iCs/>
                <w:color w:val="1F3864" w:themeColor="accent1" w:themeShade="80"/>
              </w:rPr>
            </w:pPr>
            <w:r>
              <w:rPr>
                <w:b/>
                <w:bCs/>
                <w:color w:val="1F3864" w:themeColor="accent1" w:themeShade="80"/>
              </w:rPr>
              <w:t xml:space="preserve">Note: </w:t>
            </w:r>
            <w:r w:rsidRPr="009A4CCA">
              <w:rPr>
                <w:rFonts w:eastAsia="Times New Roman"/>
                <w:b/>
                <w:bCs/>
                <w:color w:val="1F3864"/>
                <w:kern w:val="0"/>
                <w14:ligatures w14:val="none"/>
              </w:rPr>
              <w:t xml:space="preserve">The Department </w:t>
            </w:r>
            <w:r>
              <w:rPr>
                <w:rFonts w:eastAsia="Times New Roman"/>
                <w:b/>
                <w:bCs/>
                <w:color w:val="1F3864"/>
                <w:kern w:val="0"/>
                <w14:ligatures w14:val="none"/>
              </w:rPr>
              <w:t>is unable to provide a breakdown of</w:t>
            </w:r>
            <w:r w:rsidRPr="009A4CCA">
              <w:rPr>
                <w:rFonts w:eastAsia="Times New Roman"/>
                <w:b/>
                <w:bCs/>
                <w:color w:val="1F3864"/>
                <w:kern w:val="0"/>
                <w14:ligatures w14:val="none"/>
              </w:rPr>
              <w:t xml:space="preserve"> Canad</w:t>
            </w:r>
            <w:r>
              <w:rPr>
                <w:rFonts w:eastAsia="Times New Roman"/>
                <w:b/>
                <w:bCs/>
                <w:color w:val="1F3864"/>
                <w:kern w:val="0"/>
                <w14:ligatures w14:val="none"/>
              </w:rPr>
              <w:t>i</w:t>
            </w:r>
            <w:r w:rsidRPr="009A4CCA">
              <w:rPr>
                <w:rFonts w:eastAsia="Times New Roman"/>
                <w:b/>
                <w:bCs/>
                <w:color w:val="1F3864"/>
                <w:kern w:val="0"/>
                <w14:ligatures w14:val="none"/>
              </w:rPr>
              <w:t>a</w:t>
            </w:r>
            <w:r>
              <w:rPr>
                <w:rFonts w:eastAsia="Times New Roman"/>
                <w:b/>
                <w:bCs/>
                <w:color w:val="1F3864"/>
                <w:kern w:val="0"/>
                <w14:ligatures w14:val="none"/>
              </w:rPr>
              <w:t>n</w:t>
            </w:r>
            <w:r w:rsidRPr="009A4CCA">
              <w:rPr>
                <w:rFonts w:eastAsia="Times New Roman"/>
                <w:b/>
                <w:bCs/>
                <w:color w:val="1F3864"/>
                <w:kern w:val="0"/>
                <w14:ligatures w14:val="none"/>
              </w:rPr>
              <w:t xml:space="preserve"> </w:t>
            </w:r>
            <w:r>
              <w:rPr>
                <w:rFonts w:eastAsia="Times New Roman"/>
                <w:b/>
                <w:bCs/>
                <w:color w:val="1F3864"/>
                <w:kern w:val="0"/>
                <w14:ligatures w14:val="none"/>
              </w:rPr>
              <w:t xml:space="preserve">Checks Drawn in </w:t>
            </w:r>
            <w:r w:rsidRPr="009A4CCA">
              <w:rPr>
                <w:rFonts w:eastAsia="Times New Roman"/>
                <w:b/>
                <w:bCs/>
                <w:color w:val="1F3864"/>
                <w:kern w:val="0"/>
                <w14:ligatures w14:val="none"/>
              </w:rPr>
              <w:t xml:space="preserve">USD and </w:t>
            </w:r>
            <w:r>
              <w:rPr>
                <w:rFonts w:eastAsia="Times New Roman"/>
                <w:b/>
                <w:bCs/>
                <w:color w:val="1F3864"/>
                <w:kern w:val="0"/>
                <w14:ligatures w14:val="none"/>
              </w:rPr>
              <w:t>Ot</w:t>
            </w:r>
            <w:r w:rsidRPr="009A4CCA">
              <w:rPr>
                <w:rFonts w:eastAsia="Times New Roman"/>
                <w:b/>
                <w:bCs/>
                <w:color w:val="1F3864"/>
                <w:kern w:val="0"/>
                <w14:ligatures w14:val="none"/>
              </w:rPr>
              <w:t xml:space="preserve">her Foreign </w:t>
            </w:r>
            <w:r>
              <w:rPr>
                <w:rFonts w:eastAsia="Times New Roman"/>
                <w:b/>
                <w:bCs/>
                <w:color w:val="1F3864"/>
                <w:kern w:val="0"/>
                <w14:ligatures w14:val="none"/>
              </w:rPr>
              <w:t xml:space="preserve">Checks Drawn in </w:t>
            </w:r>
            <w:r w:rsidRPr="009A4CCA">
              <w:rPr>
                <w:rFonts w:eastAsia="Times New Roman"/>
                <w:b/>
                <w:bCs/>
                <w:color w:val="1F3864"/>
                <w:kern w:val="0"/>
                <w14:ligatures w14:val="none"/>
              </w:rPr>
              <w:t>USD</w:t>
            </w:r>
            <w:r>
              <w:rPr>
                <w:rFonts w:eastAsia="Times New Roman"/>
                <w:b/>
                <w:bCs/>
                <w:color w:val="1F3864"/>
                <w:kern w:val="0"/>
                <w14:ligatures w14:val="none"/>
              </w:rPr>
              <w:t>.</w:t>
            </w:r>
          </w:p>
        </w:tc>
      </w:tr>
      <w:tr w:rsidR="00A609B7" w14:paraId="345D2B7E" w14:textId="2EF701B9" w:rsidTr="003C6D04">
        <w:tc>
          <w:tcPr>
            <w:tcW w:w="355" w:type="dxa"/>
            <w:shd w:val="clear" w:color="auto" w:fill="BFBFBF" w:themeFill="background1" w:themeFillShade="BF"/>
          </w:tcPr>
          <w:p w14:paraId="6600D820" w14:textId="169AC57B" w:rsidR="00A609B7" w:rsidRPr="00191914" w:rsidRDefault="00A609B7" w:rsidP="002074F8">
            <w:pPr>
              <w:spacing w:before="40"/>
              <w:rPr>
                <w:b/>
                <w:bCs/>
              </w:rPr>
            </w:pPr>
            <w:r>
              <w:rPr>
                <w:b/>
                <w:bCs/>
              </w:rPr>
              <w:lastRenderedPageBreak/>
              <w:t>8</w:t>
            </w:r>
          </w:p>
        </w:tc>
        <w:tc>
          <w:tcPr>
            <w:tcW w:w="1440" w:type="dxa"/>
            <w:shd w:val="clear" w:color="auto" w:fill="F2F2F2" w:themeFill="background1" w:themeFillShade="F2"/>
          </w:tcPr>
          <w:p w14:paraId="49703A3C" w14:textId="177D7718" w:rsidR="00A609B7" w:rsidRPr="00BC69BF" w:rsidRDefault="00A609B7" w:rsidP="002074F8">
            <w:pPr>
              <w:spacing w:before="40" w:after="120"/>
              <w:rPr>
                <w:b/>
                <w:bCs/>
                <w:sz w:val="20"/>
                <w:szCs w:val="20"/>
              </w:rPr>
            </w:pPr>
            <w:r w:rsidRPr="00BC69BF">
              <w:rPr>
                <w:b/>
                <w:bCs/>
                <w:sz w:val="20"/>
                <w:szCs w:val="20"/>
              </w:rPr>
              <w:t>Attachment 22</w:t>
            </w:r>
          </w:p>
        </w:tc>
        <w:tc>
          <w:tcPr>
            <w:tcW w:w="540" w:type="dxa"/>
            <w:shd w:val="clear" w:color="auto" w:fill="F2F2F2" w:themeFill="background1" w:themeFillShade="F2"/>
          </w:tcPr>
          <w:p w14:paraId="7176FE3D" w14:textId="463979E5" w:rsidR="00A609B7" w:rsidRPr="00BC69BF" w:rsidRDefault="00A609B7" w:rsidP="002074F8">
            <w:pPr>
              <w:spacing w:before="40" w:after="120"/>
              <w:rPr>
                <w:b/>
                <w:bCs/>
                <w:sz w:val="20"/>
                <w:szCs w:val="20"/>
              </w:rPr>
            </w:pPr>
            <w:r w:rsidRPr="00BC69BF">
              <w:rPr>
                <w:b/>
                <w:bCs/>
                <w:sz w:val="20"/>
                <w:szCs w:val="20"/>
              </w:rPr>
              <w:t>32</w:t>
            </w:r>
          </w:p>
        </w:tc>
        <w:tc>
          <w:tcPr>
            <w:tcW w:w="4410" w:type="dxa"/>
          </w:tcPr>
          <w:p w14:paraId="7D046052" w14:textId="7D60D079" w:rsidR="00A609B7" w:rsidRPr="00416ABE" w:rsidRDefault="00A609B7" w:rsidP="002074F8">
            <w:pPr>
              <w:spacing w:before="40" w:after="120"/>
              <w:jc w:val="both"/>
            </w:pPr>
            <w:r w:rsidRPr="00416ABE">
              <w:t>RFP 14-18 in 2015 included the following line items: Dishonorments, Deposit Corrections, Adjustment detail items – Electronic, Adjustment detail items – Manual and Wire Transfer Fee in the Attachment 17 – Financial Response Form. Would DTF consider adding those line items to Attachment 22 – Cost Proposal Requirements Response Form for this response?</w:t>
            </w:r>
          </w:p>
        </w:tc>
        <w:tc>
          <w:tcPr>
            <w:tcW w:w="7290" w:type="dxa"/>
            <w:shd w:val="clear" w:color="auto" w:fill="auto"/>
          </w:tcPr>
          <w:p w14:paraId="7B611BEE" w14:textId="74882723" w:rsidR="00A609B7" w:rsidRDefault="00A609B7" w:rsidP="002074F8">
            <w:pPr>
              <w:spacing w:before="40" w:after="120"/>
              <w:jc w:val="both"/>
              <w:rPr>
                <w:b/>
                <w:bCs/>
                <w:color w:val="1F3864" w:themeColor="accent1" w:themeShade="80"/>
              </w:rPr>
            </w:pPr>
            <w:r w:rsidRPr="00FB2398">
              <w:rPr>
                <w:b/>
                <w:bCs/>
                <w:color w:val="1F3864" w:themeColor="accent1" w:themeShade="80"/>
              </w:rPr>
              <w:t xml:space="preserve">The Department declines to modify Attachment </w:t>
            </w:r>
            <w:r>
              <w:rPr>
                <w:b/>
                <w:bCs/>
                <w:color w:val="1F3864" w:themeColor="accent1" w:themeShade="80"/>
              </w:rPr>
              <w:t xml:space="preserve">22, </w:t>
            </w:r>
            <w:r>
              <w:rPr>
                <w:b/>
                <w:bCs/>
                <w:i/>
                <w:iCs/>
                <w:color w:val="1F3864" w:themeColor="accent1" w:themeShade="80"/>
              </w:rPr>
              <w:t>Cost Proposal Requirements</w:t>
            </w:r>
            <w:r w:rsidRPr="00C433F1">
              <w:rPr>
                <w:b/>
                <w:bCs/>
                <w:i/>
                <w:iCs/>
                <w:color w:val="1F3864" w:themeColor="accent1" w:themeShade="80"/>
              </w:rPr>
              <w:t xml:space="preserve"> Response Form</w:t>
            </w:r>
            <w:r>
              <w:rPr>
                <w:b/>
                <w:bCs/>
                <w:color w:val="1F3864" w:themeColor="accent1" w:themeShade="80"/>
              </w:rPr>
              <w:t xml:space="preserve">. </w:t>
            </w:r>
            <w:r w:rsidRPr="0096407B">
              <w:rPr>
                <w:b/>
                <w:bCs/>
                <w:color w:val="1F3864" w:themeColor="accent1" w:themeShade="80"/>
              </w:rPr>
              <w:t>The Department believes</w:t>
            </w:r>
            <w:r w:rsidR="00132A7C">
              <w:rPr>
                <w:b/>
                <w:bCs/>
                <w:color w:val="1F3864" w:themeColor="accent1" w:themeShade="80"/>
              </w:rPr>
              <w:t xml:space="preserve"> </w:t>
            </w:r>
            <w:r w:rsidR="00132A7C" w:rsidRPr="00132A7C">
              <w:rPr>
                <w:b/>
                <w:bCs/>
                <w:color w:val="1F3864" w:themeColor="accent1" w:themeShade="80"/>
              </w:rPr>
              <w:t>rolling up the ancillary fees referenced (Dishonorments, Deposit Corrections, Adjustment details and Wire Transfer or ACH) into one fully loaded Transaction Fee (</w:t>
            </w:r>
            <w:r w:rsidR="00786A1F">
              <w:rPr>
                <w:b/>
                <w:bCs/>
                <w:color w:val="1F3864" w:themeColor="accent1" w:themeShade="80"/>
              </w:rPr>
              <w:t>o</w:t>
            </w:r>
            <w:r w:rsidR="00132A7C" w:rsidRPr="00132A7C">
              <w:rPr>
                <w:b/>
                <w:bCs/>
                <w:color w:val="1F3864" w:themeColor="accent1" w:themeShade="80"/>
              </w:rPr>
              <w:t xml:space="preserve">ne wholly inclusive fee for each of the two categories of Electronic Items and Manual Deposits on the Attachment 22) </w:t>
            </w:r>
            <w:r w:rsidRPr="0096407B">
              <w:rPr>
                <w:b/>
                <w:bCs/>
                <w:color w:val="1F3864" w:themeColor="accent1" w:themeShade="80"/>
              </w:rPr>
              <w:t xml:space="preserve">is beneficial to all parties </w:t>
            </w:r>
            <w:r w:rsidR="00132A7C">
              <w:rPr>
                <w:b/>
                <w:bCs/>
                <w:color w:val="1F3864" w:themeColor="accent1" w:themeShade="80"/>
              </w:rPr>
              <w:t>as it simplifies the cost structure.</w:t>
            </w:r>
          </w:p>
          <w:p w14:paraId="7DCF18CA" w14:textId="77777777" w:rsidR="00612137" w:rsidRDefault="00132A7C" w:rsidP="003C6D04">
            <w:pPr>
              <w:spacing w:after="120"/>
              <w:jc w:val="both"/>
              <w:rPr>
                <w:b/>
                <w:bCs/>
                <w:color w:val="1F3864" w:themeColor="accent1" w:themeShade="80"/>
              </w:rPr>
            </w:pPr>
            <w:r>
              <w:rPr>
                <w:b/>
                <w:bCs/>
                <w:color w:val="1F3864" w:themeColor="accent1" w:themeShade="80"/>
              </w:rPr>
              <w:t>Additionally, t</w:t>
            </w:r>
            <w:r w:rsidR="00A609B7">
              <w:rPr>
                <w:b/>
                <w:bCs/>
                <w:color w:val="1F3864" w:themeColor="accent1" w:themeShade="80"/>
              </w:rPr>
              <w:t xml:space="preserve">he Department has issued Amendment #1 to clarify that Wire Transfer Fees </w:t>
            </w:r>
            <w:r>
              <w:rPr>
                <w:b/>
                <w:bCs/>
                <w:color w:val="1F3864" w:themeColor="accent1" w:themeShade="80"/>
              </w:rPr>
              <w:t xml:space="preserve">are also to </w:t>
            </w:r>
            <w:r w:rsidR="00A609B7">
              <w:rPr>
                <w:b/>
                <w:bCs/>
                <w:color w:val="1F3864" w:themeColor="accent1" w:themeShade="80"/>
              </w:rPr>
              <w:t xml:space="preserve">be included in the fully loaded Transaction Fee. Amendment #1 also provides volumes for Wire Transfers in amended Exhibit B, </w:t>
            </w:r>
            <w:r w:rsidR="00A609B7" w:rsidRPr="00C433F1">
              <w:rPr>
                <w:b/>
                <w:bCs/>
                <w:i/>
                <w:iCs/>
                <w:color w:val="1F3864" w:themeColor="accent1" w:themeShade="80"/>
              </w:rPr>
              <w:t>Volumes</w:t>
            </w:r>
            <w:r w:rsidR="00005A5B" w:rsidRPr="007D4D04">
              <w:rPr>
                <w:b/>
                <w:bCs/>
                <w:color w:val="1F3864" w:themeColor="accent1" w:themeShade="80"/>
              </w:rPr>
              <w:t xml:space="preserve"> and </w:t>
            </w:r>
            <w:r w:rsidR="00005A5B">
              <w:rPr>
                <w:b/>
                <w:bCs/>
                <w:color w:val="1F3864" w:themeColor="accent1" w:themeShade="80"/>
              </w:rPr>
              <w:t xml:space="preserve">provides a Wire Transfer Service Schedule in amended Exhibit J, </w:t>
            </w:r>
            <w:r w:rsidR="00005A5B" w:rsidRPr="007D4D04">
              <w:rPr>
                <w:b/>
                <w:bCs/>
                <w:i/>
                <w:iCs/>
                <w:color w:val="1F3864" w:themeColor="accent1" w:themeShade="80"/>
              </w:rPr>
              <w:t>Banking Services Schedules</w:t>
            </w:r>
            <w:r w:rsidR="00A609B7">
              <w:rPr>
                <w:b/>
                <w:bCs/>
                <w:color w:val="1F3864" w:themeColor="accent1" w:themeShade="80"/>
              </w:rPr>
              <w:t>.</w:t>
            </w:r>
            <w:r w:rsidR="00A609B7" w:rsidRPr="00FB2398">
              <w:rPr>
                <w:b/>
                <w:bCs/>
                <w:color w:val="1F3864" w:themeColor="accent1" w:themeShade="80"/>
              </w:rPr>
              <w:t xml:space="preserve"> </w:t>
            </w:r>
          </w:p>
          <w:p w14:paraId="5509EF4C" w14:textId="2EBAB11C" w:rsidR="00132A7C" w:rsidRPr="00FB2398" w:rsidRDefault="00132A7C" w:rsidP="00295F98">
            <w:pPr>
              <w:spacing w:after="200"/>
              <w:jc w:val="both"/>
              <w:rPr>
                <w:b/>
                <w:bCs/>
                <w:color w:val="1F3864" w:themeColor="accent1" w:themeShade="80"/>
              </w:rPr>
            </w:pPr>
            <w:r w:rsidRPr="00132A7C">
              <w:rPr>
                <w:b/>
                <w:bCs/>
                <w:color w:val="1F3864" w:themeColor="accent1" w:themeShade="80"/>
              </w:rPr>
              <w:t xml:space="preserve">If the cost structure of this RFP would prohibit a potential Bidder from bidding, the Bidder should make the reason(s) for that known to the Department, by contacting one of the Designated Contacts, </w:t>
            </w:r>
            <w:r w:rsidR="002264DE" w:rsidRPr="002264DE">
              <w:rPr>
                <w:b/>
                <w:bCs/>
                <w:color w:val="1F3864" w:themeColor="accent1" w:themeShade="80"/>
              </w:rPr>
              <w:t xml:space="preserve">by the Deadline for Submission of Round Two of Bidder Questions outlined in the </w:t>
            </w:r>
            <w:r w:rsidR="00786A1F">
              <w:rPr>
                <w:b/>
                <w:bCs/>
                <w:color w:val="1F3864" w:themeColor="accent1" w:themeShade="80"/>
              </w:rPr>
              <w:t xml:space="preserve">RFP </w:t>
            </w:r>
            <w:r w:rsidR="002264DE" w:rsidRPr="002264DE">
              <w:rPr>
                <w:b/>
                <w:bCs/>
                <w:color w:val="1F3864" w:themeColor="accent1" w:themeShade="80"/>
              </w:rPr>
              <w:t>Schedule of Events.</w:t>
            </w:r>
          </w:p>
        </w:tc>
      </w:tr>
      <w:tr w:rsidR="00A609B7" w14:paraId="23351C02" w14:textId="792E0F52" w:rsidTr="003C6D04">
        <w:tc>
          <w:tcPr>
            <w:tcW w:w="355" w:type="dxa"/>
            <w:shd w:val="clear" w:color="auto" w:fill="BFBFBF" w:themeFill="background1" w:themeFillShade="BF"/>
          </w:tcPr>
          <w:p w14:paraId="1C413ACD" w14:textId="4A96B9D4" w:rsidR="00A609B7" w:rsidRPr="00191914" w:rsidRDefault="00A609B7" w:rsidP="002074F8">
            <w:pPr>
              <w:spacing w:before="40"/>
              <w:rPr>
                <w:b/>
                <w:bCs/>
              </w:rPr>
            </w:pPr>
            <w:r>
              <w:rPr>
                <w:b/>
                <w:bCs/>
              </w:rPr>
              <w:t>9</w:t>
            </w:r>
          </w:p>
        </w:tc>
        <w:tc>
          <w:tcPr>
            <w:tcW w:w="1440" w:type="dxa"/>
            <w:shd w:val="clear" w:color="auto" w:fill="F2F2F2" w:themeFill="background1" w:themeFillShade="F2"/>
          </w:tcPr>
          <w:p w14:paraId="0D797E54" w14:textId="4368E766" w:rsidR="00A609B7" w:rsidRPr="00BC69BF" w:rsidRDefault="00A609B7" w:rsidP="002074F8">
            <w:pPr>
              <w:spacing w:before="40" w:after="120"/>
              <w:rPr>
                <w:b/>
                <w:bCs/>
              </w:rPr>
            </w:pPr>
            <w:r w:rsidRPr="00BC69BF">
              <w:rPr>
                <w:b/>
                <w:bCs/>
              </w:rPr>
              <w:t>Section 5.2</w:t>
            </w:r>
          </w:p>
        </w:tc>
        <w:tc>
          <w:tcPr>
            <w:tcW w:w="540" w:type="dxa"/>
            <w:shd w:val="clear" w:color="auto" w:fill="F2F2F2" w:themeFill="background1" w:themeFillShade="F2"/>
          </w:tcPr>
          <w:p w14:paraId="08F0044E" w14:textId="6B74BF24" w:rsidR="00A609B7" w:rsidRPr="00BC69BF" w:rsidRDefault="00A609B7" w:rsidP="002074F8">
            <w:pPr>
              <w:spacing w:before="40" w:after="120"/>
              <w:rPr>
                <w:b/>
                <w:bCs/>
              </w:rPr>
            </w:pPr>
            <w:r w:rsidRPr="00BC69BF">
              <w:rPr>
                <w:b/>
                <w:bCs/>
              </w:rPr>
              <w:t>77</w:t>
            </w:r>
          </w:p>
        </w:tc>
        <w:tc>
          <w:tcPr>
            <w:tcW w:w="4410" w:type="dxa"/>
          </w:tcPr>
          <w:p w14:paraId="4369A572" w14:textId="77777777" w:rsidR="00A609B7" w:rsidRPr="00416ABE" w:rsidRDefault="00A609B7" w:rsidP="002074F8">
            <w:pPr>
              <w:spacing w:before="40" w:after="120"/>
              <w:jc w:val="both"/>
            </w:pPr>
            <w:r w:rsidRPr="00416ABE">
              <w:t xml:space="preserve">For FedEx delivery of proposal, please provide phone number for the Green Island address below: </w:t>
            </w:r>
          </w:p>
          <w:p w14:paraId="65E014CA" w14:textId="777E4D55" w:rsidR="00A609B7" w:rsidRPr="00416ABE" w:rsidRDefault="00A609B7" w:rsidP="002074F8">
            <w:pPr>
              <w:spacing w:before="40"/>
              <w:jc w:val="both"/>
            </w:pPr>
            <w:r w:rsidRPr="00416ABE">
              <w:t>90 Cohoes Avenue</w:t>
            </w:r>
          </w:p>
          <w:p w14:paraId="7AE1E91E" w14:textId="608A7C52" w:rsidR="00A609B7" w:rsidRPr="00416ABE" w:rsidRDefault="00A609B7" w:rsidP="002074F8">
            <w:pPr>
              <w:spacing w:before="40" w:after="200"/>
              <w:jc w:val="both"/>
            </w:pPr>
            <w:r w:rsidRPr="00416ABE">
              <w:t>Green Island, NY 12183</w:t>
            </w:r>
          </w:p>
        </w:tc>
        <w:tc>
          <w:tcPr>
            <w:tcW w:w="7290" w:type="dxa"/>
            <w:shd w:val="clear" w:color="auto" w:fill="auto"/>
          </w:tcPr>
          <w:p w14:paraId="770EBF63" w14:textId="0115BC82" w:rsidR="00A609B7" w:rsidRPr="00416ABE" w:rsidRDefault="00A609B7" w:rsidP="002074F8">
            <w:pPr>
              <w:spacing w:before="40" w:after="120"/>
              <w:jc w:val="both"/>
              <w:rPr>
                <w:b/>
                <w:bCs/>
                <w:color w:val="1F3864" w:themeColor="accent1" w:themeShade="80"/>
              </w:rPr>
            </w:pPr>
            <w:r>
              <w:rPr>
                <w:b/>
                <w:bCs/>
                <w:color w:val="1F3864" w:themeColor="accent1" w:themeShade="80"/>
              </w:rPr>
              <w:t xml:space="preserve">For delivery purposes, Green Island can be reached at 518-244-1900. </w:t>
            </w:r>
          </w:p>
        </w:tc>
      </w:tr>
    </w:tbl>
    <w:p w14:paraId="4AF6A2D7" w14:textId="77777777" w:rsidR="0082592C" w:rsidRDefault="0082592C">
      <w:pPr>
        <w:sectPr w:rsidR="0082592C" w:rsidSect="00A609B7">
          <w:headerReference w:type="default" r:id="rId10"/>
          <w:footerReference w:type="default" r:id="rId11"/>
          <w:pgSz w:w="15840" w:h="12240" w:orient="landscape" w:code="1"/>
          <w:pgMar w:top="720" w:right="720" w:bottom="720" w:left="720" w:header="432" w:footer="720" w:gutter="0"/>
          <w:pgNumType w:start="1"/>
          <w:cols w:space="720"/>
          <w:docGrid w:linePitch="360"/>
        </w:sectPr>
      </w:pPr>
    </w:p>
    <w:tbl>
      <w:tblPr>
        <w:tblStyle w:val="TableGrid"/>
        <w:tblW w:w="8648" w:type="dxa"/>
        <w:tblInd w:w="697" w:type="dxa"/>
        <w:tblLook w:val="04A0" w:firstRow="1" w:lastRow="0" w:firstColumn="1" w:lastColumn="0" w:noHBand="0" w:noVBand="1"/>
      </w:tblPr>
      <w:tblGrid>
        <w:gridCol w:w="742"/>
        <w:gridCol w:w="2138"/>
        <w:gridCol w:w="5768"/>
      </w:tblGrid>
      <w:tr w:rsidR="000370DF" w14:paraId="1B24AB03" w14:textId="77777777" w:rsidTr="001135F7">
        <w:trPr>
          <w:trHeight w:val="341"/>
          <w:tblHeader/>
        </w:trPr>
        <w:tc>
          <w:tcPr>
            <w:tcW w:w="8648" w:type="dxa"/>
            <w:gridSpan w:val="3"/>
            <w:tcBorders>
              <w:top w:val="single" w:sz="18" w:space="0" w:color="auto"/>
              <w:left w:val="single" w:sz="18" w:space="0" w:color="auto"/>
              <w:bottom w:val="single" w:sz="18" w:space="0" w:color="auto"/>
              <w:right w:val="single" w:sz="18" w:space="0" w:color="auto"/>
            </w:tcBorders>
            <w:shd w:val="clear" w:color="auto" w:fill="007681"/>
          </w:tcPr>
          <w:p w14:paraId="4AA0F004" w14:textId="77777777" w:rsidR="000370DF" w:rsidRPr="00FF2CFF" w:rsidRDefault="000370DF" w:rsidP="001135F7">
            <w:pPr>
              <w:spacing w:before="120" w:after="120"/>
              <w:ind w:right="-100"/>
              <w:jc w:val="center"/>
              <w:rPr>
                <w:b/>
                <w:bCs/>
                <w:iCs/>
                <w:color w:val="FFFFFF" w:themeColor="background1"/>
                <w:sz w:val="24"/>
                <w:szCs w:val="24"/>
              </w:rPr>
            </w:pPr>
            <w:r w:rsidRPr="00FF2CFF">
              <w:rPr>
                <w:b/>
                <w:bCs/>
                <w:iCs/>
                <w:color w:val="FFFFFF" w:themeColor="background1"/>
                <w:sz w:val="24"/>
                <w:szCs w:val="24"/>
              </w:rPr>
              <w:lastRenderedPageBreak/>
              <w:t>TABLE 3.1: COST PROPOSAL REQUIREMENTS AND RESPONSE</w:t>
            </w:r>
            <w:r>
              <w:rPr>
                <w:b/>
                <w:bCs/>
                <w:iCs/>
                <w:color w:val="FFFFFF" w:themeColor="background1"/>
                <w:sz w:val="24"/>
                <w:szCs w:val="24"/>
              </w:rPr>
              <w:t xml:space="preserve">  </w:t>
            </w:r>
          </w:p>
        </w:tc>
      </w:tr>
      <w:tr w:rsidR="000370DF" w14:paraId="5D44B160" w14:textId="77777777" w:rsidTr="001135F7">
        <w:tc>
          <w:tcPr>
            <w:tcW w:w="742"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383A0855" w14:textId="77777777" w:rsidR="000370DF" w:rsidRDefault="000370DF" w:rsidP="00087A2C">
            <w:pPr>
              <w:ind w:right="-630"/>
              <w:rPr>
                <w:b/>
              </w:rPr>
            </w:pPr>
          </w:p>
        </w:tc>
        <w:tc>
          <w:tcPr>
            <w:tcW w:w="2138" w:type="dxa"/>
            <w:tcBorders>
              <w:top w:val="single" w:sz="4" w:space="0" w:color="auto"/>
              <w:left w:val="single" w:sz="4" w:space="0" w:color="auto"/>
              <w:bottom w:val="single" w:sz="4" w:space="0" w:color="auto"/>
              <w:right w:val="single" w:sz="4" w:space="0" w:color="auto"/>
            </w:tcBorders>
            <w:shd w:val="clear" w:color="auto" w:fill="FFF9E7"/>
          </w:tcPr>
          <w:p w14:paraId="255E68C4" w14:textId="77777777" w:rsidR="000370DF" w:rsidRDefault="000370DF" w:rsidP="00087A2C">
            <w:pPr>
              <w:rPr>
                <w:b/>
              </w:rPr>
            </w:pPr>
          </w:p>
        </w:tc>
        <w:tc>
          <w:tcPr>
            <w:tcW w:w="5768" w:type="dxa"/>
            <w:tcBorders>
              <w:top w:val="single" w:sz="4" w:space="0" w:color="auto"/>
              <w:left w:val="single" w:sz="4" w:space="0" w:color="auto"/>
              <w:bottom w:val="single" w:sz="4" w:space="0" w:color="auto"/>
              <w:right w:val="single" w:sz="18" w:space="0" w:color="auto"/>
            </w:tcBorders>
          </w:tcPr>
          <w:p w14:paraId="56EBD1C3" w14:textId="77777777" w:rsidR="000370DF" w:rsidRPr="00C10D77" w:rsidRDefault="000370DF" w:rsidP="00087A2C">
            <w:pPr>
              <w:pStyle w:val="Default"/>
              <w:numPr>
                <w:ilvl w:val="0"/>
                <w:numId w:val="5"/>
              </w:numPr>
              <w:ind w:left="421"/>
              <w:rPr>
                <w:iCs/>
                <w:color w:val="auto"/>
              </w:rPr>
            </w:pPr>
            <w:r w:rsidRPr="00C10D77">
              <w:rPr>
                <w:color w:val="auto"/>
                <w:sz w:val="22"/>
                <w:szCs w:val="22"/>
              </w:rPr>
              <w:t>Transmission of  the electronic information concerning the check necessary for the Bank to  deposit the check using electronic check clearing processes.</w:t>
            </w:r>
          </w:p>
          <w:p w14:paraId="5BB4358B" w14:textId="77777777" w:rsidR="00612137" w:rsidRPr="00C10D77" w:rsidRDefault="000370DF" w:rsidP="00087A2C">
            <w:pPr>
              <w:pStyle w:val="Default"/>
              <w:numPr>
                <w:ilvl w:val="0"/>
                <w:numId w:val="5"/>
              </w:numPr>
              <w:ind w:left="421"/>
              <w:rPr>
                <w:color w:val="2F5496" w:themeColor="accent1" w:themeShade="BF"/>
                <w:sz w:val="22"/>
                <w:szCs w:val="22"/>
              </w:rPr>
            </w:pPr>
            <w:r w:rsidRPr="00C10D77">
              <w:rPr>
                <w:color w:val="auto"/>
                <w:sz w:val="22"/>
                <w:szCs w:val="22"/>
              </w:rPr>
              <w:t xml:space="preserve">Transmission of data and images pertaining to any Adjustments, Dishonorments, Non-Conforming Images, Deposit corrections for electronically deposited checks.  </w:t>
            </w:r>
          </w:p>
          <w:p w14:paraId="31E5F069" w14:textId="130241ED" w:rsidR="00612137" w:rsidRDefault="002074F8" w:rsidP="008B3CB9">
            <w:pPr>
              <w:pStyle w:val="Default"/>
              <w:numPr>
                <w:ilvl w:val="0"/>
                <w:numId w:val="5"/>
              </w:numPr>
              <w:spacing w:after="40"/>
              <w:ind w:left="421"/>
              <w:rPr>
                <w:color w:val="221F1F"/>
                <w:sz w:val="22"/>
                <w:szCs w:val="22"/>
              </w:rPr>
            </w:pPr>
            <w:r w:rsidRPr="0027040A">
              <w:rPr>
                <w:color w:val="305CBE"/>
                <w:sz w:val="22"/>
                <w:szCs w:val="22"/>
              </w:rPr>
              <w:t>A</w:t>
            </w:r>
            <w:r w:rsidR="00612137" w:rsidRPr="0027040A">
              <w:rPr>
                <w:color w:val="305CBE"/>
                <w:sz w:val="22"/>
                <w:szCs w:val="22"/>
              </w:rPr>
              <w:t xml:space="preserve">ny additional fee that would be charged for any post deposit transfers (wire or ACH) </w:t>
            </w:r>
            <w:r w:rsidR="00565685" w:rsidRPr="0027040A">
              <w:rPr>
                <w:color w:val="305CBE"/>
                <w:sz w:val="22"/>
                <w:szCs w:val="22"/>
              </w:rPr>
              <w:t>made from</w:t>
            </w:r>
            <w:r w:rsidR="00612137" w:rsidRPr="0027040A">
              <w:rPr>
                <w:color w:val="305CBE"/>
                <w:sz w:val="22"/>
                <w:szCs w:val="22"/>
              </w:rPr>
              <w:t xml:space="preserve"> State accounts, as may be directed by the State.</w:t>
            </w:r>
          </w:p>
        </w:tc>
      </w:tr>
      <w:tr w:rsidR="000370DF" w14:paraId="7318D292" w14:textId="77777777" w:rsidTr="001135F7">
        <w:tc>
          <w:tcPr>
            <w:tcW w:w="742"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58D4ADB5" w14:textId="77777777" w:rsidR="000370DF" w:rsidRPr="00A266BC" w:rsidRDefault="000370DF" w:rsidP="00087A2C">
            <w:pPr>
              <w:ind w:right="-630"/>
              <w:rPr>
                <w:iCs/>
              </w:rPr>
            </w:pPr>
            <w:r>
              <w:rPr>
                <w:b/>
              </w:rPr>
              <w:t>2</w:t>
            </w:r>
            <w:r w:rsidRPr="00A266BC">
              <w:rPr>
                <w:b/>
              </w:rPr>
              <w:t>.2</w:t>
            </w:r>
          </w:p>
        </w:tc>
        <w:tc>
          <w:tcPr>
            <w:tcW w:w="2138" w:type="dxa"/>
            <w:tcBorders>
              <w:top w:val="single" w:sz="4" w:space="0" w:color="auto"/>
              <w:left w:val="single" w:sz="4" w:space="0" w:color="auto"/>
              <w:bottom w:val="single" w:sz="4" w:space="0" w:color="auto"/>
              <w:right w:val="single" w:sz="4" w:space="0" w:color="auto"/>
            </w:tcBorders>
            <w:shd w:val="clear" w:color="auto" w:fill="FFF9E7"/>
          </w:tcPr>
          <w:p w14:paraId="7218EC71" w14:textId="77777777" w:rsidR="000370DF" w:rsidRPr="006C2B2E" w:rsidRDefault="000370DF" w:rsidP="00087A2C">
            <w:pPr>
              <w:rPr>
                <w:iCs/>
              </w:rPr>
            </w:pPr>
            <w:r>
              <w:rPr>
                <w:b/>
              </w:rPr>
              <w:t>Manual Deposits</w:t>
            </w:r>
          </w:p>
        </w:tc>
        <w:tc>
          <w:tcPr>
            <w:tcW w:w="5768" w:type="dxa"/>
            <w:tcBorders>
              <w:top w:val="single" w:sz="4" w:space="0" w:color="auto"/>
              <w:left w:val="single" w:sz="4" w:space="0" w:color="auto"/>
              <w:bottom w:val="single" w:sz="4" w:space="0" w:color="auto"/>
              <w:right w:val="single" w:sz="18" w:space="0" w:color="auto"/>
            </w:tcBorders>
          </w:tcPr>
          <w:p w14:paraId="3C06D68C" w14:textId="0A059B8A" w:rsidR="000370DF" w:rsidRPr="000B7BF8" w:rsidRDefault="000370DF" w:rsidP="008B3CB9">
            <w:pPr>
              <w:pStyle w:val="Default"/>
              <w:spacing w:after="40"/>
              <w:jc w:val="both"/>
              <w:rPr>
                <w:color w:val="2F5496" w:themeColor="accent1" w:themeShade="BF"/>
                <w:sz w:val="22"/>
                <w:szCs w:val="22"/>
              </w:rPr>
            </w:pPr>
            <w:r>
              <w:rPr>
                <w:color w:val="221F1F"/>
                <w:sz w:val="22"/>
                <w:szCs w:val="22"/>
              </w:rPr>
              <w:t xml:space="preserve">This fee must include all costs related to </w:t>
            </w:r>
            <w:r w:rsidRPr="00C107A2">
              <w:rPr>
                <w:color w:val="221F1F"/>
                <w:sz w:val="22"/>
                <w:szCs w:val="22"/>
              </w:rPr>
              <w:t>the processing of Original Checks which cannot be processed electronically.</w:t>
            </w:r>
            <w:r>
              <w:rPr>
                <w:color w:val="221F1F"/>
                <w:sz w:val="22"/>
                <w:szCs w:val="22"/>
              </w:rPr>
              <w:t xml:space="preserve"> It must also include all costs related to transmission of data and images pertaining to any Adjustments, Dishonorments, Deposit corrections</w:t>
            </w:r>
            <w:r w:rsidR="00612137" w:rsidRPr="00612137">
              <w:rPr>
                <w:color w:val="0070C0"/>
                <w:sz w:val="22"/>
                <w:szCs w:val="22"/>
              </w:rPr>
              <w:t xml:space="preserve"> </w:t>
            </w:r>
            <w:r>
              <w:rPr>
                <w:color w:val="221F1F"/>
                <w:sz w:val="22"/>
                <w:szCs w:val="22"/>
              </w:rPr>
              <w:t>for Manually Deposited checks.</w:t>
            </w:r>
          </w:p>
          <w:p w14:paraId="41339646" w14:textId="0609F2C6" w:rsidR="00612137" w:rsidRPr="00A266BC" w:rsidRDefault="00612137" w:rsidP="008B3CB9">
            <w:pPr>
              <w:pStyle w:val="Default"/>
              <w:spacing w:after="40"/>
              <w:jc w:val="both"/>
              <w:rPr>
                <w:iCs/>
              </w:rPr>
            </w:pPr>
            <w:r w:rsidRPr="0027040A">
              <w:rPr>
                <w:color w:val="305CBE"/>
                <w:sz w:val="22"/>
                <w:szCs w:val="22"/>
              </w:rPr>
              <w:t xml:space="preserve">The fully loaded fee for Manual Deposits must also include any additional fee that would be charged for any post-deposit transfers (wire or ACH) </w:t>
            </w:r>
            <w:r w:rsidR="00565685" w:rsidRPr="0027040A">
              <w:rPr>
                <w:color w:val="305CBE"/>
                <w:sz w:val="22"/>
                <w:szCs w:val="22"/>
              </w:rPr>
              <w:t>made from</w:t>
            </w:r>
            <w:r w:rsidRPr="0027040A">
              <w:rPr>
                <w:color w:val="305CBE"/>
                <w:sz w:val="22"/>
                <w:szCs w:val="22"/>
              </w:rPr>
              <w:t xml:space="preserve"> State accounts, as may be directed by the State.</w:t>
            </w:r>
          </w:p>
        </w:tc>
      </w:tr>
      <w:tr w:rsidR="000370DF" w14:paraId="4677B9AD" w14:textId="77777777" w:rsidTr="001135F7">
        <w:tc>
          <w:tcPr>
            <w:tcW w:w="742"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1A530E66" w14:textId="77777777" w:rsidR="000370DF" w:rsidRPr="00A266BC" w:rsidRDefault="000370DF" w:rsidP="00087A2C">
            <w:pPr>
              <w:ind w:right="-630"/>
              <w:rPr>
                <w:iCs/>
              </w:rPr>
            </w:pPr>
            <w:r>
              <w:rPr>
                <w:b/>
              </w:rPr>
              <w:t>2</w:t>
            </w:r>
            <w:r w:rsidRPr="00A266BC">
              <w:rPr>
                <w:b/>
              </w:rPr>
              <w:t>.</w:t>
            </w:r>
            <w:r>
              <w:rPr>
                <w:b/>
              </w:rPr>
              <w:t>3</w:t>
            </w:r>
          </w:p>
        </w:tc>
        <w:tc>
          <w:tcPr>
            <w:tcW w:w="2138" w:type="dxa"/>
            <w:tcBorders>
              <w:top w:val="single" w:sz="4" w:space="0" w:color="auto"/>
              <w:left w:val="single" w:sz="4" w:space="0" w:color="auto"/>
              <w:bottom w:val="single" w:sz="4" w:space="0" w:color="auto"/>
              <w:right w:val="single" w:sz="4" w:space="0" w:color="auto"/>
            </w:tcBorders>
            <w:shd w:val="clear" w:color="auto" w:fill="FFF9E7"/>
          </w:tcPr>
          <w:p w14:paraId="7F5C0D22" w14:textId="77777777" w:rsidR="000370DF" w:rsidRPr="00940FD7" w:rsidRDefault="000370DF" w:rsidP="008B3CB9">
            <w:pPr>
              <w:spacing w:after="40"/>
              <w:rPr>
                <w:iCs/>
              </w:rPr>
            </w:pPr>
            <w:r w:rsidRPr="00940FD7">
              <w:rPr>
                <w:b/>
              </w:rPr>
              <w:t>Monthly ICL Transmission</w:t>
            </w:r>
            <w:r w:rsidRPr="00940FD7">
              <w:rPr>
                <w:b/>
                <w:bCs/>
              </w:rPr>
              <w:t xml:space="preserve"> –</w:t>
            </w:r>
            <w:r w:rsidRPr="00940FD7">
              <w:rPr>
                <w:b/>
              </w:rPr>
              <w:t xml:space="preserve"> Per Account</w:t>
            </w:r>
          </w:p>
        </w:tc>
        <w:tc>
          <w:tcPr>
            <w:tcW w:w="5768" w:type="dxa"/>
            <w:tcBorders>
              <w:top w:val="single" w:sz="4" w:space="0" w:color="auto"/>
              <w:left w:val="single" w:sz="4" w:space="0" w:color="auto"/>
              <w:bottom w:val="single" w:sz="4" w:space="0" w:color="auto"/>
              <w:right w:val="single" w:sz="18" w:space="0" w:color="auto"/>
            </w:tcBorders>
          </w:tcPr>
          <w:p w14:paraId="0970C665" w14:textId="77777777" w:rsidR="000370DF" w:rsidRPr="00940FD7" w:rsidRDefault="000370DF" w:rsidP="00087A2C">
            <w:pPr>
              <w:ind w:right="81"/>
              <w:jc w:val="both"/>
              <w:rPr>
                <w:iCs/>
              </w:rPr>
            </w:pPr>
            <w:r w:rsidRPr="00940FD7">
              <w:rPr>
                <w:iCs/>
              </w:rPr>
              <w:t xml:space="preserve">This is a flat monthly fee that must include all costs related to support of the ICL Transmission for each </w:t>
            </w:r>
            <w:r>
              <w:rPr>
                <w:iCs/>
              </w:rPr>
              <w:t xml:space="preserve">bank </w:t>
            </w:r>
            <w:r w:rsidRPr="00940FD7">
              <w:rPr>
                <w:iCs/>
              </w:rPr>
              <w:t>account.</w:t>
            </w:r>
          </w:p>
        </w:tc>
      </w:tr>
      <w:tr w:rsidR="000370DF" w14:paraId="5AF5DB17" w14:textId="77777777" w:rsidTr="001135F7">
        <w:tc>
          <w:tcPr>
            <w:tcW w:w="742" w:type="dxa"/>
            <w:tcBorders>
              <w:top w:val="single" w:sz="4" w:space="0" w:color="auto"/>
              <w:left w:val="single" w:sz="18" w:space="0" w:color="auto"/>
              <w:bottom w:val="single" w:sz="18" w:space="0" w:color="auto"/>
              <w:right w:val="single" w:sz="4" w:space="0" w:color="auto"/>
            </w:tcBorders>
            <w:shd w:val="clear" w:color="auto" w:fill="F2F2F2" w:themeFill="background1" w:themeFillShade="F2"/>
          </w:tcPr>
          <w:p w14:paraId="7A1B0965" w14:textId="77777777" w:rsidR="000370DF" w:rsidRPr="00A266BC" w:rsidRDefault="000370DF" w:rsidP="00087A2C">
            <w:pPr>
              <w:ind w:right="-630"/>
              <w:rPr>
                <w:iCs/>
              </w:rPr>
            </w:pPr>
            <w:r>
              <w:rPr>
                <w:b/>
              </w:rPr>
              <w:t>2</w:t>
            </w:r>
            <w:r w:rsidRPr="00A266BC">
              <w:rPr>
                <w:b/>
              </w:rPr>
              <w:t>.</w:t>
            </w:r>
            <w:r>
              <w:rPr>
                <w:b/>
              </w:rPr>
              <w:t>4</w:t>
            </w:r>
          </w:p>
        </w:tc>
        <w:tc>
          <w:tcPr>
            <w:tcW w:w="2138" w:type="dxa"/>
            <w:tcBorders>
              <w:top w:val="single" w:sz="4" w:space="0" w:color="auto"/>
              <w:left w:val="single" w:sz="4" w:space="0" w:color="auto"/>
              <w:bottom w:val="single" w:sz="18" w:space="0" w:color="auto"/>
              <w:right w:val="single" w:sz="4" w:space="0" w:color="auto"/>
            </w:tcBorders>
            <w:shd w:val="clear" w:color="auto" w:fill="FFF9E7"/>
          </w:tcPr>
          <w:p w14:paraId="7A4468F1" w14:textId="77777777" w:rsidR="000370DF" w:rsidRPr="00940FD7" w:rsidRDefault="000370DF" w:rsidP="008B3CB9">
            <w:pPr>
              <w:spacing w:after="40"/>
              <w:rPr>
                <w:b/>
                <w:bCs/>
                <w:iCs/>
              </w:rPr>
            </w:pPr>
            <w:r w:rsidRPr="00940FD7">
              <w:rPr>
                <w:b/>
                <w:bCs/>
              </w:rPr>
              <w:t>Monthly Account Maintenance – Per Account</w:t>
            </w:r>
          </w:p>
        </w:tc>
        <w:tc>
          <w:tcPr>
            <w:tcW w:w="5768" w:type="dxa"/>
            <w:tcBorders>
              <w:top w:val="single" w:sz="4" w:space="0" w:color="auto"/>
              <w:left w:val="single" w:sz="4" w:space="0" w:color="auto"/>
              <w:bottom w:val="single" w:sz="18" w:space="0" w:color="auto"/>
              <w:right w:val="single" w:sz="18" w:space="0" w:color="auto"/>
            </w:tcBorders>
          </w:tcPr>
          <w:p w14:paraId="2D7ACC21" w14:textId="77777777" w:rsidR="000370DF" w:rsidRPr="00940FD7" w:rsidRDefault="000370DF" w:rsidP="00087A2C">
            <w:pPr>
              <w:spacing w:before="120"/>
              <w:ind w:right="81"/>
              <w:jc w:val="both"/>
              <w:rPr>
                <w:iCs/>
              </w:rPr>
            </w:pPr>
            <w:r w:rsidRPr="00940FD7">
              <w:rPr>
                <w:iCs/>
              </w:rPr>
              <w:t xml:space="preserve">This is a flat monthly fee that must include all costs related to the maintenance for each </w:t>
            </w:r>
            <w:r>
              <w:rPr>
                <w:iCs/>
              </w:rPr>
              <w:t xml:space="preserve">bank </w:t>
            </w:r>
            <w:r w:rsidRPr="00940FD7">
              <w:rPr>
                <w:iCs/>
              </w:rPr>
              <w:t>account.</w:t>
            </w:r>
          </w:p>
        </w:tc>
      </w:tr>
      <w:tr w:rsidR="000370DF" w14:paraId="0D272046" w14:textId="77777777" w:rsidTr="00087A2C">
        <w:trPr>
          <w:trHeight w:val="50"/>
        </w:trPr>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24E2D7AD" w14:textId="77777777" w:rsidR="000370DF" w:rsidRPr="001B034D" w:rsidRDefault="000370DF" w:rsidP="00087A2C">
            <w:pPr>
              <w:ind w:right="-630"/>
              <w:rPr>
                <w:b/>
                <w:bCs/>
                <w:iCs/>
                <w:sz w:val="24"/>
                <w:szCs w:val="24"/>
              </w:rPr>
            </w:pPr>
            <w:r w:rsidRPr="001B034D">
              <w:rPr>
                <w:b/>
                <w:bCs/>
                <w:iCs/>
                <w:sz w:val="24"/>
                <w:szCs w:val="24"/>
              </w:rPr>
              <w:t>3.</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2D78C4EA" w14:textId="77777777" w:rsidR="000370DF" w:rsidRPr="001B034D" w:rsidRDefault="000370DF" w:rsidP="00087A2C">
            <w:pPr>
              <w:ind w:right="78"/>
              <w:rPr>
                <w:b/>
                <w:bCs/>
                <w:iCs/>
                <w:sz w:val="24"/>
                <w:szCs w:val="24"/>
              </w:rPr>
            </w:pPr>
            <w:r w:rsidRPr="001B034D">
              <w:rPr>
                <w:b/>
                <w:bCs/>
                <w:iCs/>
                <w:sz w:val="24"/>
                <w:szCs w:val="24"/>
              </w:rPr>
              <w:t>OVERDRAFT INTEREST CHARGES</w:t>
            </w:r>
          </w:p>
        </w:tc>
      </w:tr>
      <w:tr w:rsidR="000370DF" w14:paraId="383DC8F2" w14:textId="77777777" w:rsidTr="001135F7">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310DDA0C" w14:textId="77777777" w:rsidR="000370DF" w:rsidRPr="00E82303" w:rsidRDefault="000370DF" w:rsidP="00087A2C">
            <w:pPr>
              <w:ind w:right="-630"/>
              <w:rPr>
                <w:b/>
                <w:bCs/>
                <w:iCs/>
              </w:rPr>
            </w:pPr>
            <w:r>
              <w:rPr>
                <w:b/>
                <w:bCs/>
                <w:iCs/>
              </w:rPr>
              <w:t>3.1</w:t>
            </w:r>
          </w:p>
        </w:tc>
        <w:tc>
          <w:tcPr>
            <w:tcW w:w="2138" w:type="dxa"/>
            <w:tcBorders>
              <w:top w:val="single" w:sz="18" w:space="0" w:color="auto"/>
              <w:left w:val="single" w:sz="4" w:space="0" w:color="auto"/>
              <w:bottom w:val="single" w:sz="18" w:space="0" w:color="auto"/>
              <w:right w:val="single" w:sz="4" w:space="0" w:color="auto"/>
            </w:tcBorders>
            <w:shd w:val="clear" w:color="auto" w:fill="FFF9E7"/>
            <w:vAlign w:val="center"/>
          </w:tcPr>
          <w:p w14:paraId="7B72D62C" w14:textId="77777777" w:rsidR="000370DF" w:rsidRDefault="000370DF" w:rsidP="00087A2C">
            <w:pPr>
              <w:ind w:right="78"/>
              <w:rPr>
                <w:b/>
                <w:bCs/>
                <w:iCs/>
              </w:rPr>
            </w:pPr>
            <w:r>
              <w:rPr>
                <w:b/>
                <w:bCs/>
                <w:iCs/>
              </w:rPr>
              <w:t>Overdraft Interest Rate</w:t>
            </w:r>
          </w:p>
        </w:tc>
        <w:tc>
          <w:tcPr>
            <w:tcW w:w="5768" w:type="dxa"/>
            <w:tcBorders>
              <w:top w:val="single" w:sz="18" w:space="0" w:color="auto"/>
              <w:left w:val="single" w:sz="4" w:space="0" w:color="auto"/>
              <w:bottom w:val="single" w:sz="18" w:space="0" w:color="auto"/>
              <w:right w:val="single" w:sz="18" w:space="0" w:color="auto"/>
            </w:tcBorders>
            <w:shd w:val="clear" w:color="auto" w:fill="auto"/>
            <w:vAlign w:val="center"/>
          </w:tcPr>
          <w:p w14:paraId="7F8F51B0" w14:textId="77777777" w:rsidR="000370DF" w:rsidRPr="002B6151" w:rsidRDefault="000370DF" w:rsidP="008B3CB9">
            <w:pPr>
              <w:spacing w:after="40"/>
              <w:ind w:right="78"/>
              <w:jc w:val="both"/>
              <w:rPr>
                <w:iCs/>
              </w:rPr>
            </w:pPr>
            <w:r w:rsidRPr="002B6151">
              <w:rPr>
                <w:iCs/>
              </w:rPr>
              <w:t>Bidder to propose the not-to-exceed overdraft interest rate above Fed Funds Rate.</w:t>
            </w:r>
          </w:p>
        </w:tc>
      </w:tr>
      <w:tr w:rsidR="000370DF" w14:paraId="31E73BD7" w14:textId="77777777" w:rsidTr="001135F7">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3552B711" w14:textId="77777777" w:rsidR="000370DF" w:rsidRPr="001B034D" w:rsidRDefault="000370DF" w:rsidP="00087A2C">
            <w:pPr>
              <w:ind w:right="-630"/>
              <w:rPr>
                <w:b/>
                <w:bCs/>
                <w:iCs/>
                <w:sz w:val="24"/>
                <w:szCs w:val="24"/>
              </w:rPr>
            </w:pPr>
            <w:r w:rsidRPr="001B034D">
              <w:rPr>
                <w:b/>
                <w:bCs/>
                <w:iCs/>
                <w:sz w:val="24"/>
                <w:szCs w:val="24"/>
              </w:rPr>
              <w:t>4.</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4145E822" w14:textId="77777777" w:rsidR="000370DF" w:rsidRPr="001B034D" w:rsidRDefault="000370DF" w:rsidP="00087A2C">
            <w:pPr>
              <w:ind w:right="-630"/>
              <w:rPr>
                <w:b/>
                <w:bCs/>
                <w:iCs/>
                <w:sz w:val="24"/>
                <w:szCs w:val="24"/>
              </w:rPr>
            </w:pPr>
            <w:r w:rsidRPr="001B034D">
              <w:rPr>
                <w:b/>
                <w:bCs/>
                <w:iCs/>
                <w:sz w:val="24"/>
                <w:szCs w:val="24"/>
              </w:rPr>
              <w:t>MANUAL DEPOSITS ADDRESS</w:t>
            </w:r>
          </w:p>
        </w:tc>
      </w:tr>
      <w:tr w:rsidR="000370DF" w14:paraId="6EF709D1" w14:textId="77777777" w:rsidTr="001135F7">
        <w:trPr>
          <w:trHeight w:val="935"/>
        </w:trPr>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0EEF78A1" w14:textId="77777777" w:rsidR="000370DF" w:rsidRPr="00E82303" w:rsidRDefault="000370DF" w:rsidP="00087A2C">
            <w:pPr>
              <w:ind w:right="-630"/>
              <w:rPr>
                <w:b/>
                <w:bCs/>
                <w:iCs/>
              </w:rPr>
            </w:pPr>
            <w:r>
              <w:rPr>
                <w:b/>
                <w:bCs/>
                <w:iCs/>
              </w:rPr>
              <w:t>4</w:t>
            </w:r>
            <w:r w:rsidRPr="00E82303">
              <w:rPr>
                <w:b/>
                <w:bCs/>
                <w:iCs/>
              </w:rPr>
              <w:t>.1</w:t>
            </w:r>
          </w:p>
        </w:tc>
        <w:tc>
          <w:tcPr>
            <w:tcW w:w="2138" w:type="dxa"/>
            <w:tcBorders>
              <w:top w:val="single" w:sz="18" w:space="0" w:color="auto"/>
              <w:left w:val="single" w:sz="4" w:space="0" w:color="auto"/>
              <w:bottom w:val="single" w:sz="18" w:space="0" w:color="auto"/>
            </w:tcBorders>
            <w:shd w:val="clear" w:color="auto" w:fill="FFF9E7"/>
            <w:vAlign w:val="center"/>
          </w:tcPr>
          <w:p w14:paraId="13F383F2" w14:textId="77777777" w:rsidR="000370DF" w:rsidRPr="006C2B2E" w:rsidRDefault="000370DF" w:rsidP="008B3CB9">
            <w:pPr>
              <w:spacing w:after="40"/>
              <w:rPr>
                <w:b/>
              </w:rPr>
            </w:pPr>
            <w:r>
              <w:rPr>
                <w:b/>
              </w:rPr>
              <w:t>Address Where Manual Deposits will be Received for Processing</w:t>
            </w:r>
          </w:p>
        </w:tc>
        <w:tc>
          <w:tcPr>
            <w:tcW w:w="5768" w:type="dxa"/>
            <w:tcBorders>
              <w:top w:val="single" w:sz="18" w:space="0" w:color="auto"/>
              <w:bottom w:val="single" w:sz="18" w:space="0" w:color="auto"/>
              <w:right w:val="single" w:sz="18" w:space="0" w:color="auto"/>
            </w:tcBorders>
            <w:vAlign w:val="center"/>
          </w:tcPr>
          <w:p w14:paraId="00198B06" w14:textId="77777777" w:rsidR="000370DF" w:rsidRPr="009F550F" w:rsidRDefault="000370DF" w:rsidP="00087A2C">
            <w:pPr>
              <w:tabs>
                <w:tab w:val="left" w:pos="2610"/>
              </w:tabs>
              <w:jc w:val="both"/>
              <w:rPr>
                <w:bCs/>
                <w:color w:val="231F20"/>
              </w:rPr>
            </w:pPr>
            <w:r w:rsidRPr="009F550F">
              <w:rPr>
                <w:bCs/>
              </w:rPr>
              <w:t xml:space="preserve">Bidder to provide </w:t>
            </w:r>
            <w:r>
              <w:rPr>
                <w:bCs/>
              </w:rPr>
              <w:t xml:space="preserve">the </w:t>
            </w:r>
            <w:r w:rsidRPr="009F550F">
              <w:rPr>
                <w:bCs/>
              </w:rPr>
              <w:t xml:space="preserve">address </w:t>
            </w:r>
            <w:r>
              <w:rPr>
                <w:bCs/>
              </w:rPr>
              <w:t xml:space="preserve">to which the Department will deliver </w:t>
            </w:r>
            <w:r w:rsidRPr="009F550F">
              <w:rPr>
                <w:bCs/>
              </w:rPr>
              <w:t xml:space="preserve">Manual Deposits </w:t>
            </w:r>
            <w:r>
              <w:rPr>
                <w:bCs/>
              </w:rPr>
              <w:t>for payment processing</w:t>
            </w:r>
            <w:r w:rsidRPr="009F550F">
              <w:rPr>
                <w:bCs/>
              </w:rPr>
              <w:t xml:space="preserve">. </w:t>
            </w:r>
          </w:p>
        </w:tc>
      </w:tr>
      <w:tr w:rsidR="000370DF" w14:paraId="582B0E5E" w14:textId="77777777" w:rsidTr="001135F7">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16409050" w14:textId="77777777" w:rsidR="000370DF" w:rsidRPr="00FD05ED" w:rsidRDefault="000370DF" w:rsidP="00087A2C">
            <w:pPr>
              <w:ind w:right="-630"/>
              <w:rPr>
                <w:b/>
                <w:bCs/>
                <w:iCs/>
                <w:sz w:val="24"/>
                <w:szCs w:val="24"/>
              </w:rPr>
            </w:pPr>
            <w:r w:rsidRPr="00FD05ED">
              <w:rPr>
                <w:b/>
                <w:bCs/>
                <w:iCs/>
                <w:sz w:val="24"/>
                <w:szCs w:val="24"/>
              </w:rPr>
              <w:t>5.</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tcPr>
          <w:p w14:paraId="45ED1837" w14:textId="77777777" w:rsidR="000370DF" w:rsidRPr="00FD05ED" w:rsidRDefault="000370DF" w:rsidP="00087A2C">
            <w:pPr>
              <w:ind w:right="78"/>
              <w:rPr>
                <w:b/>
                <w:bCs/>
                <w:iCs/>
                <w:sz w:val="24"/>
                <w:szCs w:val="24"/>
              </w:rPr>
            </w:pPr>
            <w:r w:rsidRPr="00FD05ED">
              <w:rPr>
                <w:b/>
                <w:bCs/>
                <w:iCs/>
                <w:sz w:val="24"/>
                <w:szCs w:val="24"/>
              </w:rPr>
              <w:t>CHANGES</w:t>
            </w:r>
          </w:p>
          <w:p w14:paraId="33C6D6F0" w14:textId="77777777" w:rsidR="000370DF" w:rsidRDefault="000370DF" w:rsidP="00087A2C">
            <w:pPr>
              <w:ind w:right="78"/>
              <w:jc w:val="both"/>
              <w:rPr>
                <w:color w:val="231F20"/>
              </w:rPr>
            </w:pPr>
            <w:r w:rsidRPr="00C46F0D">
              <w:rPr>
                <w:color w:val="231F20"/>
              </w:rPr>
              <w:t xml:space="preserve">Hourly rates for </w:t>
            </w:r>
            <w:r>
              <w:rPr>
                <w:color w:val="231F20"/>
              </w:rPr>
              <w:t>Changes</w:t>
            </w:r>
            <w:r w:rsidRPr="00C46F0D">
              <w:rPr>
                <w:color w:val="231F20"/>
              </w:rPr>
              <w:t xml:space="preserve"> </w:t>
            </w:r>
            <w:r>
              <w:rPr>
                <w:color w:val="231F20"/>
              </w:rPr>
              <w:t>must</w:t>
            </w:r>
            <w:r w:rsidRPr="00C46F0D">
              <w:rPr>
                <w:color w:val="231F20"/>
              </w:rPr>
              <w:t xml:space="preserve"> not include travel costs. Travel-related expenses associated with </w:t>
            </w:r>
            <w:r>
              <w:rPr>
                <w:color w:val="231F20"/>
              </w:rPr>
              <w:t>Changes</w:t>
            </w:r>
            <w:r w:rsidRPr="00C46F0D">
              <w:rPr>
                <w:color w:val="231F20"/>
              </w:rPr>
              <w:t xml:space="preserve"> shall be reimbursed in accordance with the NYS Office of State Comptroller guidelines</w:t>
            </w:r>
            <w:r>
              <w:rPr>
                <w:color w:val="231F20"/>
              </w:rPr>
              <w:t xml:space="preserve"> for travel-related expenses: </w:t>
            </w:r>
          </w:p>
          <w:p w14:paraId="6E3090AC" w14:textId="77777777" w:rsidR="000370DF" w:rsidRPr="00C46F0D" w:rsidRDefault="0027040A" w:rsidP="00087A2C">
            <w:pPr>
              <w:ind w:right="78"/>
              <w:jc w:val="both"/>
              <w:rPr>
                <w:b/>
                <w:bCs/>
                <w:iCs/>
              </w:rPr>
            </w:pPr>
            <w:hyperlink r:id="rId12" w:history="1">
              <w:r w:rsidR="000370DF" w:rsidRPr="00F46E5A">
                <w:rPr>
                  <w:rStyle w:val="Hyperlink"/>
                </w:rPr>
                <w:t>https://www.osc.state.ny.us/state-agencies/travel</w:t>
              </w:r>
            </w:hyperlink>
          </w:p>
        </w:tc>
      </w:tr>
      <w:tr w:rsidR="000370DF" w14:paraId="3DB76688" w14:textId="77777777" w:rsidTr="001135F7">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06D31DF8" w14:textId="77777777" w:rsidR="000370DF" w:rsidRPr="00E82303" w:rsidRDefault="000370DF" w:rsidP="00087A2C">
            <w:pPr>
              <w:ind w:right="-630"/>
              <w:rPr>
                <w:b/>
                <w:bCs/>
                <w:iCs/>
              </w:rPr>
            </w:pPr>
            <w:r>
              <w:rPr>
                <w:b/>
                <w:bCs/>
                <w:iCs/>
              </w:rPr>
              <w:t>5</w:t>
            </w:r>
            <w:r w:rsidRPr="00E82303">
              <w:rPr>
                <w:b/>
                <w:bCs/>
                <w:iCs/>
              </w:rPr>
              <w:t>.1</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F2F2F2" w:themeFill="background1" w:themeFillShade="F2"/>
          </w:tcPr>
          <w:p w14:paraId="6C316332" w14:textId="77777777" w:rsidR="000370DF" w:rsidRPr="00E82303" w:rsidRDefault="000370DF" w:rsidP="00087A2C">
            <w:pPr>
              <w:ind w:right="253"/>
              <w:rPr>
                <w:b/>
                <w:bCs/>
                <w:iCs/>
              </w:rPr>
            </w:pPr>
            <w:r w:rsidRPr="00E82303">
              <w:rPr>
                <w:b/>
                <w:bCs/>
                <w:iCs/>
              </w:rPr>
              <w:t xml:space="preserve">Project Management: </w:t>
            </w:r>
            <w:r>
              <w:rPr>
                <w:b/>
                <w:bCs/>
                <w:iCs/>
              </w:rPr>
              <w:t xml:space="preserve"> </w:t>
            </w:r>
            <w:r w:rsidRPr="00E82303">
              <w:rPr>
                <w:b/>
                <w:bCs/>
                <w:iCs/>
              </w:rPr>
              <w:t xml:space="preserve">Indicate the hourly/per person rate for project management services associated with </w:t>
            </w:r>
            <w:r>
              <w:rPr>
                <w:b/>
                <w:bCs/>
                <w:iCs/>
              </w:rPr>
              <w:t>Changes</w:t>
            </w:r>
            <w:r w:rsidRPr="00E82303">
              <w:rPr>
                <w:b/>
                <w:bCs/>
                <w:iCs/>
              </w:rPr>
              <w:t>.</w:t>
            </w:r>
          </w:p>
        </w:tc>
      </w:tr>
      <w:tr w:rsidR="000370DF" w14:paraId="3A4982C0" w14:textId="77777777" w:rsidTr="00B44AE2">
        <w:trPr>
          <w:trHeight w:val="50"/>
        </w:trPr>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3FE54281" w14:textId="77777777" w:rsidR="000370DF" w:rsidRPr="00E82303" w:rsidRDefault="000370DF" w:rsidP="00087A2C">
            <w:pPr>
              <w:ind w:right="-630"/>
              <w:rPr>
                <w:b/>
                <w:bCs/>
                <w:iCs/>
              </w:rPr>
            </w:pPr>
            <w:r>
              <w:rPr>
                <w:b/>
                <w:bCs/>
                <w:iCs/>
              </w:rPr>
              <w:t>5</w:t>
            </w:r>
            <w:r w:rsidRPr="00E82303">
              <w:rPr>
                <w:b/>
                <w:bCs/>
                <w:iCs/>
              </w:rPr>
              <w:t>.1.A</w:t>
            </w:r>
          </w:p>
        </w:tc>
        <w:tc>
          <w:tcPr>
            <w:tcW w:w="7906" w:type="dxa"/>
            <w:gridSpan w:val="2"/>
            <w:tcBorders>
              <w:top w:val="single" w:sz="18" w:space="0" w:color="auto"/>
              <w:left w:val="single" w:sz="4" w:space="0" w:color="auto"/>
              <w:bottom w:val="single" w:sz="18" w:space="0" w:color="auto"/>
              <w:right w:val="single" w:sz="18" w:space="0" w:color="auto"/>
            </w:tcBorders>
          </w:tcPr>
          <w:p w14:paraId="125BAD08" w14:textId="77777777" w:rsidR="00B44AE2" w:rsidRPr="00E82303" w:rsidRDefault="00B44AE2" w:rsidP="00087A2C">
            <w:pPr>
              <w:pStyle w:val="TableParagraph"/>
              <w:rPr>
                <w:rFonts w:ascii="Arial" w:hAnsi="Arial" w:cs="Arial"/>
                <w:b/>
              </w:rPr>
            </w:pPr>
            <w:r w:rsidRPr="00E82303">
              <w:rPr>
                <w:rFonts w:ascii="Arial" w:hAnsi="Arial" w:cs="Arial"/>
                <w:b/>
                <w:color w:val="231F20"/>
              </w:rPr>
              <w:t>Project Manager:</w:t>
            </w:r>
          </w:p>
          <w:p w14:paraId="6209BCD5" w14:textId="77777777" w:rsidR="00B44AE2" w:rsidRPr="00E82303" w:rsidRDefault="00B44AE2" w:rsidP="00087A2C">
            <w:pPr>
              <w:pStyle w:val="TableParagraph"/>
              <w:numPr>
                <w:ilvl w:val="0"/>
                <w:numId w:val="3"/>
              </w:numPr>
              <w:tabs>
                <w:tab w:val="left" w:pos="400"/>
              </w:tabs>
              <w:autoSpaceDE w:val="0"/>
              <w:autoSpaceDN w:val="0"/>
              <w:ind w:left="490" w:hanging="270"/>
              <w:rPr>
                <w:rFonts w:ascii="Arial" w:hAnsi="Arial" w:cs="Arial"/>
              </w:rPr>
            </w:pPr>
            <w:r w:rsidRPr="00E82303">
              <w:rPr>
                <w:rFonts w:ascii="Arial" w:hAnsi="Arial" w:cs="Arial"/>
                <w:color w:val="231F20"/>
              </w:rPr>
              <w:t>Oversee projects comprised of multiple deliverables and/or</w:t>
            </w:r>
            <w:r w:rsidRPr="00E82303">
              <w:rPr>
                <w:rFonts w:ascii="Arial" w:hAnsi="Arial" w:cs="Arial"/>
                <w:color w:val="231F20"/>
                <w:spacing w:val="-8"/>
              </w:rPr>
              <w:t xml:space="preserve"> </w:t>
            </w:r>
            <w:r w:rsidRPr="00E82303">
              <w:rPr>
                <w:rFonts w:ascii="Arial" w:hAnsi="Arial" w:cs="Arial"/>
                <w:color w:val="231F20"/>
              </w:rPr>
              <w:t>phases.</w:t>
            </w:r>
          </w:p>
          <w:p w14:paraId="65D1BCEB" w14:textId="2A9E28AC" w:rsidR="000370DF" w:rsidRPr="000370DF" w:rsidRDefault="00B44AE2" w:rsidP="00087A2C">
            <w:pPr>
              <w:pStyle w:val="TableParagraph"/>
              <w:numPr>
                <w:ilvl w:val="0"/>
                <w:numId w:val="3"/>
              </w:numPr>
              <w:tabs>
                <w:tab w:val="left" w:pos="400"/>
              </w:tabs>
              <w:autoSpaceDE w:val="0"/>
              <w:autoSpaceDN w:val="0"/>
              <w:ind w:left="490" w:hanging="270"/>
              <w:rPr>
                <w:rFonts w:ascii="Arial" w:hAnsi="Arial" w:cs="Arial"/>
              </w:rPr>
            </w:pPr>
            <w:r w:rsidRPr="00E82303">
              <w:rPr>
                <w:rFonts w:ascii="Arial" w:hAnsi="Arial" w:cs="Arial"/>
                <w:color w:val="231F20"/>
              </w:rPr>
              <w:t>Delegate and coordinate</w:t>
            </w:r>
            <w:r w:rsidRPr="00E82303">
              <w:rPr>
                <w:rFonts w:ascii="Arial" w:hAnsi="Arial" w:cs="Arial"/>
                <w:color w:val="231F20"/>
                <w:spacing w:val="-1"/>
              </w:rPr>
              <w:t xml:space="preserve"> </w:t>
            </w:r>
            <w:r w:rsidRPr="00E82303">
              <w:rPr>
                <w:rFonts w:ascii="Arial" w:hAnsi="Arial" w:cs="Arial"/>
                <w:color w:val="231F20"/>
              </w:rPr>
              <w:t>tasks.</w:t>
            </w:r>
          </w:p>
        </w:tc>
      </w:tr>
    </w:tbl>
    <w:p w14:paraId="353A22F4" w14:textId="77777777" w:rsidR="00B44AE2" w:rsidRDefault="00B44AE2">
      <w:pPr>
        <w:sectPr w:rsidR="00B44AE2" w:rsidSect="000370DF">
          <w:headerReference w:type="default" r:id="rId13"/>
          <w:footerReference w:type="default" r:id="rId14"/>
          <w:pgSz w:w="12240" w:h="15840" w:code="1"/>
          <w:pgMar w:top="1440" w:right="1440" w:bottom="1440" w:left="1440" w:header="432" w:footer="720" w:gutter="0"/>
          <w:cols w:space="720"/>
          <w:docGrid w:linePitch="360"/>
        </w:sectPr>
      </w:pPr>
    </w:p>
    <w:p w14:paraId="0BF1F60B" w14:textId="635D0EDA" w:rsidR="00B44AE2" w:rsidRPr="00E30B06" w:rsidRDefault="00B44AE2" w:rsidP="00B44AE2">
      <w:pPr>
        <w:spacing w:before="82"/>
        <w:ind w:left="936" w:right="936"/>
        <w:jc w:val="center"/>
        <w:outlineLvl w:val="0"/>
        <w:rPr>
          <w:b/>
          <w:sz w:val="28"/>
        </w:rPr>
      </w:pPr>
      <w:bookmarkStart w:id="8" w:name="_Toc157155024"/>
      <w:r w:rsidRPr="00E30B06">
        <w:rPr>
          <w:b/>
          <w:sz w:val="28"/>
        </w:rPr>
        <w:lastRenderedPageBreak/>
        <w:t>Exhibit B – Volumes</w:t>
      </w:r>
      <w:bookmarkEnd w:id="8"/>
    </w:p>
    <w:tbl>
      <w:tblPr>
        <w:tblW w:w="13488" w:type="dxa"/>
        <w:tblInd w:w="118" w:type="dxa"/>
        <w:tblLayout w:type="fixed"/>
        <w:tblLook w:val="04A0" w:firstRow="1" w:lastRow="0" w:firstColumn="1" w:lastColumn="0" w:noHBand="0" w:noVBand="1"/>
      </w:tblPr>
      <w:tblGrid>
        <w:gridCol w:w="2482"/>
        <w:gridCol w:w="1440"/>
        <w:gridCol w:w="1530"/>
        <w:gridCol w:w="1710"/>
        <w:gridCol w:w="1581"/>
        <w:gridCol w:w="1775"/>
        <w:gridCol w:w="1620"/>
        <w:gridCol w:w="1350"/>
      </w:tblGrid>
      <w:tr w:rsidR="00B44AE2" w:rsidRPr="0008781C" w14:paraId="5B186DFE" w14:textId="08DA0DE4" w:rsidTr="00087A2C">
        <w:trPr>
          <w:trHeight w:val="466"/>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206DD440" w14:textId="77777777" w:rsidR="00B44AE2" w:rsidRPr="00357D00" w:rsidRDefault="00B44AE2" w:rsidP="001135F7">
            <w:pPr>
              <w:rPr>
                <w:rFonts w:eastAsia="Times New Roman"/>
                <w:b/>
                <w:bCs/>
                <w:color w:val="000000"/>
              </w:rPr>
            </w:pPr>
            <w:bookmarkStart w:id="9" w:name="Exhibit_C_-_Sample_Peak_Dates_Calendar"/>
            <w:bookmarkStart w:id="10" w:name="_bookmark2"/>
            <w:bookmarkEnd w:id="9"/>
            <w:bookmarkEnd w:id="10"/>
            <w:r w:rsidRPr="00357D00">
              <w:rPr>
                <w:rFonts w:eastAsia="Times New Roman"/>
                <w:b/>
                <w:bCs/>
                <w:color w:val="000000"/>
              </w:rPr>
              <w:t>Tax Application Bank Accounts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0745193" w14:textId="77777777" w:rsidR="00B44AE2" w:rsidRPr="00357D00" w:rsidRDefault="00B44AE2" w:rsidP="003920B3">
            <w:pPr>
              <w:jc w:val="center"/>
              <w:rPr>
                <w:rFonts w:eastAsia="Times New Roman"/>
                <w:b/>
                <w:bCs/>
                <w:color w:val="000000"/>
              </w:rPr>
            </w:pPr>
            <w:r w:rsidRPr="00357D00">
              <w:rPr>
                <w:rFonts w:eastAsia="Times New Roman"/>
                <w:b/>
                <w:bCs/>
                <w:color w:val="000000"/>
              </w:rPr>
              <w:t>Electronic Payments</w:t>
            </w:r>
          </w:p>
        </w:tc>
        <w:tc>
          <w:tcPr>
            <w:tcW w:w="15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96A4253" w14:textId="77777777" w:rsidR="00B44AE2" w:rsidRPr="00357D00" w:rsidRDefault="00B44AE2" w:rsidP="00087A2C">
            <w:pPr>
              <w:rPr>
                <w:rFonts w:eastAsia="Times New Roman"/>
                <w:b/>
                <w:bCs/>
                <w:color w:val="000000"/>
              </w:rPr>
            </w:pPr>
            <w:r w:rsidRPr="00357D00">
              <w:rPr>
                <w:rFonts w:eastAsia="Times New Roman"/>
                <w:b/>
                <w:bCs/>
                <w:color w:val="000000"/>
              </w:rPr>
              <w:t>Manual</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C7F66C1" w14:textId="479407F3" w:rsidR="00B44AE2" w:rsidRPr="00357D00" w:rsidRDefault="00B44AE2" w:rsidP="003920B3">
            <w:pPr>
              <w:spacing w:after="120"/>
              <w:jc w:val="center"/>
              <w:rPr>
                <w:rFonts w:eastAsia="Times New Roman"/>
                <w:b/>
                <w:bCs/>
                <w:color w:val="000000"/>
              </w:rPr>
            </w:pPr>
            <w:r w:rsidRPr="00357D00">
              <w:rPr>
                <w:rFonts w:eastAsia="Times New Roman"/>
                <w:b/>
                <w:bCs/>
                <w:color w:val="000000"/>
              </w:rPr>
              <w:t>ICL Transmission</w:t>
            </w:r>
          </w:p>
          <w:p w14:paraId="3E95FD03" w14:textId="1501BFAF" w:rsidR="00B44AE2" w:rsidRPr="00357D00" w:rsidRDefault="00B44AE2" w:rsidP="003920B3">
            <w:pPr>
              <w:spacing w:before="120" w:after="120"/>
              <w:jc w:val="center"/>
              <w:rPr>
                <w:rFonts w:eastAsia="Times New Roman"/>
                <w:b/>
                <w:bCs/>
                <w:color w:val="000000"/>
              </w:rPr>
            </w:pPr>
            <w:r w:rsidRPr="00357D00">
              <w:rPr>
                <w:rFonts w:eastAsia="Times New Roman"/>
                <w:b/>
                <w:bCs/>
                <w:color w:val="000000"/>
              </w:rPr>
              <w:t>Per Account</w:t>
            </w:r>
          </w:p>
        </w:tc>
        <w:tc>
          <w:tcPr>
            <w:tcW w:w="158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B184285" w14:textId="7F235E35" w:rsidR="00B44AE2" w:rsidRPr="00357D00" w:rsidRDefault="00B44AE2" w:rsidP="003920B3">
            <w:pPr>
              <w:spacing w:after="0"/>
              <w:ind w:left="-81"/>
              <w:jc w:val="center"/>
              <w:rPr>
                <w:rFonts w:eastAsia="Times New Roman"/>
                <w:b/>
                <w:bCs/>
                <w:color w:val="000000"/>
              </w:rPr>
            </w:pPr>
            <w:r w:rsidRPr="00357D00">
              <w:rPr>
                <w:rFonts w:eastAsia="Times New Roman"/>
                <w:b/>
                <w:bCs/>
                <w:color w:val="000000"/>
              </w:rPr>
              <w:t>Account Maintenance Fee</w:t>
            </w:r>
          </w:p>
          <w:p w14:paraId="0CBCA769" w14:textId="77777777" w:rsidR="00B44AE2" w:rsidRPr="00357D00" w:rsidRDefault="00B44AE2" w:rsidP="003920B3">
            <w:pPr>
              <w:spacing w:after="120"/>
              <w:ind w:left="-81"/>
              <w:jc w:val="center"/>
              <w:rPr>
                <w:rFonts w:eastAsia="Times New Roman"/>
                <w:b/>
                <w:bCs/>
                <w:color w:val="000000"/>
              </w:rPr>
            </w:pPr>
            <w:r w:rsidRPr="00357D00">
              <w:rPr>
                <w:rFonts w:eastAsia="Times New Roman"/>
                <w:b/>
                <w:bCs/>
                <w:color w:val="000000"/>
              </w:rPr>
              <w:t>Per Account</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C6F185F" w14:textId="77777777" w:rsidR="00B44AE2" w:rsidRPr="00357D00" w:rsidRDefault="00B44AE2" w:rsidP="003920B3">
            <w:pPr>
              <w:ind w:right="-78" w:hanging="118"/>
              <w:jc w:val="center"/>
              <w:rPr>
                <w:rFonts w:eastAsia="Times New Roman"/>
                <w:b/>
                <w:bCs/>
                <w:color w:val="000000"/>
              </w:rPr>
            </w:pPr>
            <w:r w:rsidRPr="00357D00">
              <w:rPr>
                <w:rFonts w:eastAsia="Times New Roman"/>
                <w:b/>
                <w:bCs/>
                <w:color w:val="000000"/>
              </w:rPr>
              <w:t>Dishonorments</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D06DB51" w14:textId="77777777" w:rsidR="00B44AE2" w:rsidRPr="00357D00" w:rsidRDefault="00B44AE2" w:rsidP="003920B3">
            <w:pPr>
              <w:jc w:val="center"/>
              <w:rPr>
                <w:rFonts w:eastAsia="Times New Roman"/>
                <w:b/>
                <w:bCs/>
                <w:color w:val="000000"/>
              </w:rPr>
            </w:pPr>
            <w:r w:rsidRPr="00357D00">
              <w:rPr>
                <w:rFonts w:eastAsia="Times New Roman"/>
                <w:b/>
                <w:bCs/>
                <w:color w:val="000000"/>
              </w:rPr>
              <w:t>Adjustment Detail items</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053A085" w14:textId="03A8A631" w:rsidR="00B44AE2" w:rsidRPr="0027040A" w:rsidRDefault="00B44AE2" w:rsidP="003920B3">
            <w:pPr>
              <w:jc w:val="center"/>
              <w:rPr>
                <w:rFonts w:eastAsia="Times New Roman"/>
                <w:b/>
                <w:bCs/>
                <w:color w:val="305CBE"/>
              </w:rPr>
            </w:pPr>
            <w:r w:rsidRPr="0027040A">
              <w:rPr>
                <w:rFonts w:eastAsia="Times New Roman"/>
                <w:b/>
                <w:bCs/>
                <w:color w:val="305CBE"/>
              </w:rPr>
              <w:t>Wire Transfers</w:t>
            </w:r>
          </w:p>
        </w:tc>
      </w:tr>
      <w:tr w:rsidR="00B44AE2" w:rsidRPr="0008781C" w14:paraId="586A88A6" w14:textId="1341ED1B"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5340929F" w14:textId="77777777" w:rsidR="00B44AE2" w:rsidRPr="00357D00" w:rsidRDefault="00B44AE2" w:rsidP="00B44AE2">
            <w:pPr>
              <w:spacing w:after="80"/>
              <w:rPr>
                <w:rFonts w:eastAsia="Times New Roman"/>
                <w:b/>
                <w:bCs/>
                <w:color w:val="000000"/>
              </w:rPr>
            </w:pPr>
            <w:r w:rsidRPr="00357D00">
              <w:rPr>
                <w:rFonts w:eastAsia="Times New Roman"/>
                <w:b/>
                <w:bCs/>
                <w:color w:val="000000"/>
              </w:rPr>
              <w:t xml:space="preserve">Highway Use Tax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5C66F" w14:textId="77777777" w:rsidR="00B44AE2" w:rsidRPr="00357D00" w:rsidRDefault="00B44AE2" w:rsidP="00B44AE2">
            <w:pPr>
              <w:spacing w:after="80"/>
              <w:jc w:val="center"/>
              <w:rPr>
                <w:rFonts w:eastAsia="Times New Roman"/>
                <w:b/>
                <w:bCs/>
                <w:color w:val="000000"/>
              </w:rPr>
            </w:pPr>
            <w:r w:rsidRPr="00357D00">
              <w:rPr>
                <w:b/>
                <w:bCs/>
                <w:color w:val="000000"/>
              </w:rPr>
              <w:t xml:space="preserve">35,163 </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62DA8702" w14:textId="77777777" w:rsidR="00B44AE2" w:rsidRPr="00357D00" w:rsidRDefault="00B44AE2" w:rsidP="00B44AE2">
            <w:pPr>
              <w:spacing w:after="80"/>
              <w:jc w:val="center"/>
              <w:rPr>
                <w:rFonts w:eastAsia="Times New Roman"/>
                <w:b/>
                <w:bCs/>
                <w:color w:val="000000"/>
              </w:rPr>
            </w:pPr>
            <w:r w:rsidRPr="00357D00">
              <w:rPr>
                <w:b/>
                <w:bCs/>
                <w:color w:val="000000"/>
              </w:rPr>
              <w:t>8,953</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747A4D23"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12EE29C2"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5C4BCA2" w14:textId="77777777" w:rsidR="00B44AE2" w:rsidRPr="00357D00" w:rsidRDefault="00B44AE2" w:rsidP="00B44AE2">
            <w:pPr>
              <w:spacing w:after="80"/>
              <w:jc w:val="center"/>
              <w:rPr>
                <w:rFonts w:eastAsia="Times New Roman"/>
                <w:b/>
                <w:bCs/>
                <w:color w:val="000000"/>
              </w:rPr>
            </w:pPr>
            <w:r w:rsidRPr="00357D00">
              <w:rPr>
                <w:b/>
                <w:bCs/>
                <w:color w:val="000000"/>
              </w:rPr>
              <w:t>104</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78585CA" w14:textId="77777777" w:rsidR="00B44AE2" w:rsidRPr="00357D00" w:rsidRDefault="00B44AE2" w:rsidP="00B44AE2">
            <w:pPr>
              <w:spacing w:after="80"/>
              <w:jc w:val="center"/>
              <w:rPr>
                <w:rFonts w:eastAsia="Times New Roman"/>
                <w:b/>
                <w:bCs/>
                <w:color w:val="000000"/>
              </w:rPr>
            </w:pPr>
            <w:r w:rsidRPr="00357D00">
              <w:rPr>
                <w:b/>
                <w:bCs/>
                <w:color w:val="000000"/>
              </w:rPr>
              <w:t xml:space="preserve">0 </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6331CFAA" w14:textId="0849EC5A" w:rsidR="00B44AE2" w:rsidRPr="0027040A" w:rsidRDefault="00B44AE2" w:rsidP="00B44AE2">
            <w:pPr>
              <w:spacing w:after="80"/>
              <w:jc w:val="center"/>
              <w:rPr>
                <w:b/>
                <w:bCs/>
                <w:color w:val="305CBE"/>
              </w:rPr>
            </w:pPr>
            <w:r w:rsidRPr="0027040A">
              <w:rPr>
                <w:b/>
                <w:bCs/>
                <w:color w:val="305CBE"/>
              </w:rPr>
              <w:t>117</w:t>
            </w:r>
          </w:p>
        </w:tc>
      </w:tr>
      <w:tr w:rsidR="00B44AE2" w:rsidRPr="0008781C" w14:paraId="13D8BF4A" w14:textId="08F8A911"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0A09224C" w14:textId="77777777" w:rsidR="00B44AE2" w:rsidRPr="00357D00" w:rsidRDefault="00B44AE2" w:rsidP="00B44AE2">
            <w:pPr>
              <w:spacing w:after="80"/>
              <w:rPr>
                <w:rFonts w:eastAsia="Times New Roman"/>
                <w:b/>
                <w:bCs/>
                <w:color w:val="000000"/>
              </w:rPr>
            </w:pPr>
            <w:r w:rsidRPr="00357D00">
              <w:rPr>
                <w:rFonts w:eastAsia="Times New Roman"/>
                <w:b/>
                <w:bCs/>
                <w:color w:val="000000"/>
              </w:rPr>
              <w:t xml:space="preserve">Real Estate Transfer Tax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7576DB" w14:textId="77777777" w:rsidR="00B44AE2" w:rsidRPr="00357D00" w:rsidRDefault="00B44AE2" w:rsidP="00B44AE2">
            <w:pPr>
              <w:spacing w:after="80"/>
              <w:jc w:val="center"/>
              <w:rPr>
                <w:rFonts w:eastAsia="Times New Roman"/>
                <w:b/>
                <w:bCs/>
                <w:color w:val="000000"/>
              </w:rPr>
            </w:pPr>
            <w:r w:rsidRPr="00357D00">
              <w:rPr>
                <w:b/>
                <w:bCs/>
                <w:color w:val="000000"/>
              </w:rPr>
              <w:t>19,889</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45D80B6" w14:textId="77777777" w:rsidR="00B44AE2" w:rsidRPr="00357D00" w:rsidRDefault="00B44AE2" w:rsidP="00B44AE2">
            <w:pPr>
              <w:spacing w:after="80"/>
              <w:jc w:val="center"/>
              <w:rPr>
                <w:rFonts w:eastAsia="Times New Roman"/>
                <w:b/>
                <w:bCs/>
                <w:color w:val="000000"/>
              </w:rPr>
            </w:pPr>
            <w:r w:rsidRPr="00357D00">
              <w:rPr>
                <w:b/>
                <w:bCs/>
                <w:color w:val="000000"/>
              </w:rPr>
              <w:t>215</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121F6EBB"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5AE7C0A4"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7D64313" w14:textId="77777777" w:rsidR="00B44AE2" w:rsidRPr="00357D00" w:rsidRDefault="00B44AE2" w:rsidP="00B44AE2">
            <w:pPr>
              <w:spacing w:after="80"/>
              <w:jc w:val="center"/>
              <w:rPr>
                <w:rFonts w:eastAsia="Times New Roman"/>
                <w:b/>
                <w:bCs/>
                <w:color w:val="000000"/>
              </w:rPr>
            </w:pPr>
            <w:r w:rsidRPr="00357D00">
              <w:rPr>
                <w:b/>
                <w:bCs/>
                <w:color w:val="000000"/>
              </w:rPr>
              <w:t>16</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1D7EE2B" w14:textId="77777777" w:rsidR="00B44AE2" w:rsidRPr="00357D00" w:rsidRDefault="00B44AE2" w:rsidP="00B44AE2">
            <w:pPr>
              <w:spacing w:after="80"/>
              <w:jc w:val="center"/>
              <w:rPr>
                <w:rFonts w:eastAsia="Times New Roman"/>
                <w:b/>
                <w:bCs/>
                <w:color w:val="000000"/>
              </w:rPr>
            </w:pPr>
            <w:r w:rsidRPr="00357D00">
              <w:rPr>
                <w:b/>
                <w:bCs/>
                <w:color w:val="000000"/>
              </w:rPr>
              <w:t>16</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467AB1C4" w14:textId="66B41EFB" w:rsidR="00B44AE2" w:rsidRPr="0027040A" w:rsidRDefault="00B44AE2" w:rsidP="00B44AE2">
            <w:pPr>
              <w:spacing w:after="80"/>
              <w:jc w:val="center"/>
              <w:rPr>
                <w:b/>
                <w:bCs/>
                <w:color w:val="305CBE"/>
              </w:rPr>
            </w:pPr>
            <w:r w:rsidRPr="0027040A">
              <w:rPr>
                <w:b/>
                <w:bCs/>
                <w:color w:val="305CBE"/>
              </w:rPr>
              <w:t>217</w:t>
            </w:r>
          </w:p>
        </w:tc>
      </w:tr>
      <w:tr w:rsidR="00B44AE2" w:rsidRPr="0008781C" w14:paraId="307EB1A8" w14:textId="6C0275B5"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7D2F4149" w14:textId="77777777" w:rsidR="00B44AE2" w:rsidRPr="00357D00" w:rsidRDefault="00B44AE2" w:rsidP="00B44AE2">
            <w:pPr>
              <w:spacing w:before="120" w:after="80"/>
              <w:rPr>
                <w:rFonts w:eastAsia="Times New Roman"/>
                <w:b/>
                <w:bCs/>
                <w:color w:val="000000"/>
              </w:rPr>
            </w:pPr>
            <w:r w:rsidRPr="00357D00">
              <w:rPr>
                <w:rFonts w:eastAsia="Times New Roman"/>
                <w:b/>
                <w:bCs/>
                <w:color w:val="000000"/>
              </w:rPr>
              <w:t xml:space="preserve">Corporation Tax </w:t>
            </w:r>
          </w:p>
          <w:p w14:paraId="18E891B2" w14:textId="77777777" w:rsidR="00B44AE2" w:rsidRPr="00357D00" w:rsidRDefault="00B44AE2" w:rsidP="00B44AE2">
            <w:pPr>
              <w:spacing w:after="80"/>
              <w:rPr>
                <w:rFonts w:eastAsia="Times New Roman"/>
                <w:b/>
                <w:bCs/>
                <w:color w:val="000000"/>
              </w:rPr>
            </w:pPr>
            <w:r w:rsidRPr="00357D00">
              <w:rPr>
                <w:rFonts w:eastAsia="Times New Roman"/>
                <w:b/>
                <w:bCs/>
                <w:color w:val="000000"/>
              </w:rPr>
              <w:t>(Return, Voucher, and Wireless Communications Surcharge)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2A1D07" w14:textId="77777777" w:rsidR="00B44AE2" w:rsidRPr="00357D00" w:rsidRDefault="00B44AE2" w:rsidP="00B44AE2">
            <w:pPr>
              <w:spacing w:after="80"/>
              <w:jc w:val="center"/>
              <w:rPr>
                <w:rFonts w:eastAsia="Times New Roman"/>
                <w:b/>
                <w:bCs/>
                <w:color w:val="000000"/>
              </w:rPr>
            </w:pPr>
            <w:r w:rsidRPr="00357D00">
              <w:rPr>
                <w:b/>
                <w:bCs/>
                <w:color w:val="000000"/>
              </w:rPr>
              <w:t>121,784</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43A85455" w14:textId="77777777" w:rsidR="00B44AE2" w:rsidRPr="00357D00" w:rsidRDefault="00B44AE2" w:rsidP="00B44AE2">
            <w:pPr>
              <w:spacing w:after="80"/>
              <w:jc w:val="center"/>
              <w:rPr>
                <w:rFonts w:eastAsia="Times New Roman"/>
                <w:b/>
                <w:bCs/>
                <w:color w:val="000000"/>
              </w:rPr>
            </w:pPr>
            <w:r w:rsidRPr="00357D00">
              <w:rPr>
                <w:b/>
                <w:bCs/>
                <w:color w:val="000000"/>
              </w:rPr>
              <w:t>1,371</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2BB822F6"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5222084A"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EA4DF50" w14:textId="77777777" w:rsidR="00B44AE2" w:rsidRPr="00357D00" w:rsidRDefault="00B44AE2" w:rsidP="00B44AE2">
            <w:pPr>
              <w:spacing w:after="80"/>
              <w:jc w:val="center"/>
              <w:rPr>
                <w:rFonts w:eastAsia="Times New Roman"/>
                <w:b/>
                <w:bCs/>
                <w:color w:val="000000"/>
              </w:rPr>
            </w:pPr>
            <w:r w:rsidRPr="00357D00">
              <w:rPr>
                <w:b/>
                <w:bCs/>
                <w:color w:val="000000"/>
              </w:rPr>
              <w:t>660</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617F780" w14:textId="77777777" w:rsidR="00B44AE2" w:rsidRPr="00357D00" w:rsidRDefault="00B44AE2" w:rsidP="00B44AE2">
            <w:pPr>
              <w:spacing w:after="80"/>
              <w:jc w:val="center"/>
              <w:rPr>
                <w:rFonts w:eastAsia="Times New Roman"/>
                <w:b/>
                <w:bCs/>
                <w:color w:val="000000"/>
              </w:rPr>
            </w:pPr>
            <w:r w:rsidRPr="00357D00">
              <w:rPr>
                <w:b/>
                <w:bCs/>
                <w:color w:val="000000"/>
              </w:rPr>
              <w:t>659</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56A81DD" w14:textId="387F1DD4" w:rsidR="00B44AE2" w:rsidRPr="0027040A" w:rsidRDefault="00B44AE2" w:rsidP="00B44AE2">
            <w:pPr>
              <w:spacing w:after="80"/>
              <w:jc w:val="center"/>
              <w:rPr>
                <w:b/>
                <w:bCs/>
                <w:color w:val="305CBE"/>
              </w:rPr>
            </w:pPr>
            <w:r w:rsidRPr="0027040A">
              <w:rPr>
                <w:b/>
                <w:bCs/>
                <w:color w:val="305CBE"/>
              </w:rPr>
              <w:t>215</w:t>
            </w:r>
          </w:p>
        </w:tc>
      </w:tr>
      <w:tr w:rsidR="00B44AE2" w:rsidRPr="0008781C" w14:paraId="5F330DB8" w14:textId="5204BE58"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077250CD" w14:textId="77777777" w:rsidR="00B44AE2" w:rsidRPr="00357D00" w:rsidRDefault="00B44AE2" w:rsidP="00B44AE2">
            <w:pPr>
              <w:spacing w:after="80"/>
              <w:rPr>
                <w:rFonts w:eastAsia="Times New Roman"/>
                <w:b/>
                <w:bCs/>
                <w:color w:val="000000"/>
              </w:rPr>
            </w:pPr>
            <w:r w:rsidRPr="00357D00">
              <w:rPr>
                <w:rFonts w:eastAsia="Times New Roman"/>
                <w:b/>
                <w:bCs/>
                <w:color w:val="000000"/>
              </w:rPr>
              <w:t>Personal Income Tax and Limited Liability Company</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79288FC" w14:textId="77777777" w:rsidR="00B44AE2" w:rsidRPr="00357D00" w:rsidRDefault="00B44AE2" w:rsidP="00B44AE2">
            <w:pPr>
              <w:spacing w:after="80"/>
              <w:jc w:val="center"/>
              <w:rPr>
                <w:rFonts w:eastAsia="Times New Roman"/>
                <w:b/>
                <w:bCs/>
                <w:color w:val="000000"/>
              </w:rPr>
            </w:pPr>
            <w:r w:rsidRPr="00357D00">
              <w:rPr>
                <w:b/>
                <w:bCs/>
                <w:color w:val="000000"/>
              </w:rPr>
              <w:t>191,775</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5B9E1472" w14:textId="77777777" w:rsidR="00B44AE2" w:rsidRPr="00357D00" w:rsidRDefault="00B44AE2" w:rsidP="00B44AE2">
            <w:pPr>
              <w:spacing w:after="80"/>
              <w:jc w:val="center"/>
              <w:rPr>
                <w:rFonts w:eastAsia="Times New Roman"/>
                <w:b/>
                <w:bCs/>
                <w:color w:val="000000"/>
              </w:rPr>
            </w:pPr>
            <w:r w:rsidRPr="00357D00">
              <w:rPr>
                <w:b/>
                <w:bCs/>
                <w:color w:val="000000"/>
              </w:rPr>
              <w:t>954</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5A833EA4"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780702A0"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FFCA74A" w14:textId="77777777" w:rsidR="00B44AE2" w:rsidRPr="00357D00" w:rsidRDefault="00B44AE2" w:rsidP="00B44AE2">
            <w:pPr>
              <w:spacing w:after="80"/>
              <w:jc w:val="center"/>
              <w:rPr>
                <w:rFonts w:eastAsia="Times New Roman"/>
                <w:b/>
                <w:bCs/>
                <w:color w:val="000000"/>
              </w:rPr>
            </w:pPr>
            <w:r w:rsidRPr="00357D00">
              <w:rPr>
                <w:b/>
                <w:bCs/>
                <w:color w:val="000000"/>
              </w:rPr>
              <w:t>986</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AAAA2C4" w14:textId="77777777" w:rsidR="00B44AE2" w:rsidRPr="00357D00" w:rsidRDefault="00B44AE2" w:rsidP="00B44AE2">
            <w:pPr>
              <w:spacing w:after="80"/>
              <w:jc w:val="center"/>
              <w:rPr>
                <w:rFonts w:eastAsia="Times New Roman"/>
                <w:b/>
                <w:bCs/>
                <w:color w:val="000000"/>
              </w:rPr>
            </w:pPr>
            <w:r w:rsidRPr="00357D00">
              <w:rPr>
                <w:b/>
                <w:bCs/>
                <w:color w:val="000000"/>
              </w:rPr>
              <w:t>986</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1B07259D" w14:textId="51792098" w:rsidR="00B44AE2" w:rsidRPr="0027040A" w:rsidRDefault="00B44AE2" w:rsidP="00B44AE2">
            <w:pPr>
              <w:spacing w:after="80"/>
              <w:jc w:val="center"/>
              <w:rPr>
                <w:b/>
                <w:bCs/>
                <w:color w:val="305CBE"/>
              </w:rPr>
            </w:pPr>
            <w:r w:rsidRPr="0027040A">
              <w:rPr>
                <w:b/>
                <w:bCs/>
                <w:color w:val="305CBE"/>
              </w:rPr>
              <w:t>238</w:t>
            </w:r>
          </w:p>
        </w:tc>
      </w:tr>
      <w:tr w:rsidR="00B44AE2" w:rsidRPr="0008781C" w14:paraId="0590B4BE" w14:textId="7C3AC43C"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44A247DA" w14:textId="77777777" w:rsidR="00B44AE2" w:rsidRPr="00357D00" w:rsidRDefault="00B44AE2" w:rsidP="00B44AE2">
            <w:pPr>
              <w:spacing w:after="80"/>
              <w:rPr>
                <w:rFonts w:eastAsia="Times New Roman"/>
                <w:b/>
                <w:bCs/>
                <w:color w:val="000000"/>
              </w:rPr>
            </w:pPr>
            <w:r w:rsidRPr="00357D00">
              <w:rPr>
                <w:rFonts w:eastAsia="Times New Roman"/>
                <w:b/>
                <w:bCs/>
                <w:color w:val="000000"/>
              </w:rPr>
              <w:t>Sales Tax</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AB4147" w14:textId="77777777" w:rsidR="00B44AE2" w:rsidRPr="00357D00" w:rsidRDefault="00B44AE2" w:rsidP="00B44AE2">
            <w:pPr>
              <w:spacing w:after="80"/>
              <w:jc w:val="center"/>
              <w:rPr>
                <w:rFonts w:eastAsia="Times New Roman"/>
                <w:b/>
                <w:bCs/>
                <w:color w:val="000000"/>
              </w:rPr>
            </w:pPr>
            <w:r w:rsidRPr="00357D00">
              <w:rPr>
                <w:b/>
                <w:bCs/>
                <w:color w:val="000000"/>
              </w:rPr>
              <w:t>69,149</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64F3F46B" w14:textId="77777777" w:rsidR="00B44AE2" w:rsidRPr="00357D00" w:rsidRDefault="00B44AE2" w:rsidP="00B44AE2">
            <w:pPr>
              <w:spacing w:after="80"/>
              <w:jc w:val="center"/>
              <w:rPr>
                <w:rFonts w:eastAsia="Times New Roman"/>
                <w:b/>
                <w:bCs/>
                <w:color w:val="000000"/>
              </w:rPr>
            </w:pPr>
            <w:r w:rsidRPr="00357D00">
              <w:rPr>
                <w:b/>
                <w:bCs/>
                <w:color w:val="000000"/>
              </w:rPr>
              <w:t>612</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7DF48C7A"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29BE1BD5"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D3E896D" w14:textId="77777777" w:rsidR="00B44AE2" w:rsidRPr="00357D00" w:rsidRDefault="00B44AE2" w:rsidP="00B44AE2">
            <w:pPr>
              <w:spacing w:after="80"/>
              <w:jc w:val="center"/>
              <w:rPr>
                <w:rFonts w:eastAsia="Times New Roman"/>
                <w:b/>
                <w:bCs/>
                <w:color w:val="000000"/>
              </w:rPr>
            </w:pPr>
            <w:r w:rsidRPr="00357D00">
              <w:rPr>
                <w:b/>
                <w:bCs/>
                <w:color w:val="000000"/>
              </w:rPr>
              <w:t>552</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32B0CA3" w14:textId="77777777" w:rsidR="00B44AE2" w:rsidRPr="00357D00" w:rsidRDefault="00B44AE2" w:rsidP="00B44AE2">
            <w:pPr>
              <w:spacing w:after="80"/>
              <w:jc w:val="center"/>
              <w:rPr>
                <w:rFonts w:eastAsia="Times New Roman"/>
                <w:b/>
                <w:bCs/>
                <w:color w:val="000000"/>
              </w:rPr>
            </w:pPr>
            <w:r w:rsidRPr="00357D00">
              <w:rPr>
                <w:b/>
                <w:bCs/>
                <w:color w:val="000000"/>
              </w:rPr>
              <w:t>552</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75872795" w14:textId="4CDFB948" w:rsidR="00B44AE2" w:rsidRPr="0027040A" w:rsidRDefault="00B44AE2" w:rsidP="00B44AE2">
            <w:pPr>
              <w:spacing w:after="80"/>
              <w:jc w:val="center"/>
              <w:rPr>
                <w:b/>
                <w:bCs/>
                <w:color w:val="305CBE"/>
              </w:rPr>
            </w:pPr>
            <w:r w:rsidRPr="0027040A">
              <w:rPr>
                <w:b/>
                <w:bCs/>
                <w:color w:val="305CBE"/>
              </w:rPr>
              <w:t>248</w:t>
            </w:r>
          </w:p>
        </w:tc>
      </w:tr>
      <w:tr w:rsidR="00B44AE2" w:rsidRPr="0008781C" w14:paraId="4F16F884" w14:textId="5D066DA6"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1B72833D" w14:textId="77777777" w:rsidR="00B44AE2" w:rsidRPr="00357D00" w:rsidRDefault="00B44AE2" w:rsidP="00B44AE2">
            <w:pPr>
              <w:spacing w:after="80"/>
              <w:rPr>
                <w:rFonts w:eastAsia="Times New Roman"/>
                <w:b/>
                <w:bCs/>
                <w:color w:val="000000"/>
              </w:rPr>
            </w:pPr>
            <w:r w:rsidRPr="00357D00">
              <w:rPr>
                <w:rFonts w:eastAsia="Times New Roman"/>
                <w:b/>
                <w:bCs/>
                <w:color w:val="000000"/>
              </w:rPr>
              <w:t xml:space="preserve">Check to Debit Exchange Account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218711" w14:textId="77777777" w:rsidR="00B44AE2" w:rsidRPr="00357D00" w:rsidRDefault="00B44AE2" w:rsidP="00B44AE2">
            <w:pPr>
              <w:spacing w:after="80"/>
              <w:jc w:val="center"/>
              <w:rPr>
                <w:rFonts w:eastAsia="Times New Roman"/>
                <w:b/>
                <w:bCs/>
                <w:color w:val="000000"/>
              </w:rPr>
            </w:pPr>
            <w:r w:rsidRPr="00357D00">
              <w:rPr>
                <w:b/>
                <w:bCs/>
                <w:color w:val="000000"/>
              </w:rPr>
              <w:t>5</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8474ABB" w14:textId="77777777" w:rsidR="00B44AE2" w:rsidRPr="00357D00" w:rsidRDefault="00B44AE2" w:rsidP="00B44AE2">
            <w:pPr>
              <w:spacing w:after="80"/>
              <w:jc w:val="center"/>
              <w:rPr>
                <w:rFonts w:eastAsia="Times New Roman"/>
                <w:b/>
                <w:bCs/>
                <w:color w:val="000000"/>
              </w:rPr>
            </w:pPr>
            <w:r w:rsidRPr="00357D00">
              <w:rPr>
                <w:b/>
                <w:bCs/>
                <w:color w:val="000000"/>
              </w:rPr>
              <w:t>0</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320A9A36"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5BCADEE2"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0D57911" w14:textId="77777777" w:rsidR="00B44AE2" w:rsidRPr="00357D00" w:rsidRDefault="00B44AE2" w:rsidP="00B44AE2">
            <w:pPr>
              <w:spacing w:after="80"/>
              <w:jc w:val="center"/>
              <w:rPr>
                <w:rFonts w:eastAsia="Times New Roman"/>
                <w:b/>
                <w:bCs/>
                <w:color w:val="000000"/>
              </w:rPr>
            </w:pPr>
            <w:r w:rsidRPr="00357D00">
              <w:rPr>
                <w:b/>
                <w:bCs/>
                <w:color w:val="000000"/>
              </w:rPr>
              <w:t xml:space="preserve">0 </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8924968" w14:textId="77777777" w:rsidR="00B44AE2" w:rsidRPr="00357D00" w:rsidRDefault="00B44AE2" w:rsidP="00B44AE2">
            <w:pPr>
              <w:spacing w:after="80"/>
              <w:jc w:val="center"/>
              <w:rPr>
                <w:rFonts w:eastAsia="Times New Roman"/>
                <w:b/>
                <w:bCs/>
                <w:color w:val="000000"/>
              </w:rPr>
            </w:pPr>
            <w:r w:rsidRPr="00357D00">
              <w:rPr>
                <w:b/>
                <w:bCs/>
                <w:color w:val="000000"/>
              </w:rPr>
              <w:t xml:space="preserve">0 </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5AA95025" w14:textId="3DD3CDFB" w:rsidR="00B44AE2" w:rsidRPr="0027040A" w:rsidRDefault="00B44AE2" w:rsidP="00B44AE2">
            <w:pPr>
              <w:spacing w:after="80"/>
              <w:jc w:val="center"/>
              <w:rPr>
                <w:b/>
                <w:bCs/>
                <w:color w:val="305CBE"/>
              </w:rPr>
            </w:pPr>
            <w:r w:rsidRPr="0027040A">
              <w:rPr>
                <w:b/>
                <w:bCs/>
                <w:color w:val="305CBE"/>
              </w:rPr>
              <w:t>0</w:t>
            </w:r>
          </w:p>
        </w:tc>
      </w:tr>
      <w:tr w:rsidR="00B44AE2" w:rsidRPr="0008781C" w14:paraId="490671E8" w14:textId="2C74894A"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3F48C2B5" w14:textId="77777777" w:rsidR="00B44AE2" w:rsidRPr="00357D00" w:rsidRDefault="00B44AE2" w:rsidP="00B44AE2">
            <w:pPr>
              <w:spacing w:after="80"/>
              <w:rPr>
                <w:rFonts w:eastAsia="Times New Roman"/>
                <w:b/>
                <w:bCs/>
                <w:color w:val="000000"/>
              </w:rPr>
            </w:pPr>
            <w:r w:rsidRPr="00357D00">
              <w:rPr>
                <w:rFonts w:eastAsia="Times New Roman"/>
                <w:b/>
                <w:bCs/>
                <w:color w:val="000000"/>
              </w:rPr>
              <w:t>Estate Tax</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628307" w14:textId="77777777" w:rsidR="00B44AE2" w:rsidRPr="00357D00" w:rsidRDefault="00B44AE2" w:rsidP="00B44AE2">
            <w:pPr>
              <w:spacing w:after="80"/>
              <w:jc w:val="center"/>
              <w:rPr>
                <w:rFonts w:eastAsia="Times New Roman"/>
                <w:b/>
                <w:bCs/>
                <w:color w:val="000000"/>
              </w:rPr>
            </w:pPr>
            <w:r w:rsidRPr="00357D00">
              <w:rPr>
                <w:b/>
                <w:bCs/>
                <w:color w:val="000000"/>
              </w:rPr>
              <w:t>1,121</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F498541" w14:textId="77777777" w:rsidR="00B44AE2" w:rsidRPr="00357D00" w:rsidRDefault="00B44AE2" w:rsidP="00B44AE2">
            <w:pPr>
              <w:spacing w:after="80"/>
              <w:jc w:val="center"/>
              <w:rPr>
                <w:rFonts w:eastAsia="Times New Roman"/>
                <w:b/>
                <w:bCs/>
                <w:color w:val="000000"/>
              </w:rPr>
            </w:pPr>
            <w:r w:rsidRPr="00357D00">
              <w:rPr>
                <w:b/>
                <w:bCs/>
                <w:color w:val="000000"/>
              </w:rPr>
              <w:t>26</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1289BCB3"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4918C757" w14:textId="77777777" w:rsidR="00B44AE2" w:rsidRPr="00357D00" w:rsidRDefault="00B44AE2" w:rsidP="00B44AE2">
            <w:pPr>
              <w:spacing w:after="80"/>
              <w:jc w:val="center"/>
              <w:rPr>
                <w:rFonts w:eastAsia="Times New Roman"/>
                <w:b/>
                <w:bCs/>
                <w:color w:val="000000"/>
              </w:rPr>
            </w:pPr>
            <w:r w:rsidRPr="00357D00">
              <w:rPr>
                <w:b/>
                <w:bCs/>
                <w:color w:val="000000"/>
              </w:rPr>
              <w:t xml:space="preserve">12 </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6A423CE" w14:textId="77777777" w:rsidR="00B44AE2" w:rsidRPr="00357D00" w:rsidRDefault="00B44AE2" w:rsidP="00B44AE2">
            <w:pPr>
              <w:spacing w:after="80"/>
              <w:jc w:val="center"/>
              <w:rPr>
                <w:rFonts w:eastAsia="Times New Roman"/>
                <w:b/>
                <w:bCs/>
                <w:color w:val="000000"/>
              </w:rPr>
            </w:pPr>
            <w:r w:rsidRPr="00357D00">
              <w:rPr>
                <w:b/>
                <w:bCs/>
                <w:color w:val="000000"/>
              </w:rPr>
              <w:t>7</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1FE6F73" w14:textId="77777777" w:rsidR="00B44AE2" w:rsidRPr="00357D00" w:rsidRDefault="00B44AE2" w:rsidP="00B44AE2">
            <w:pPr>
              <w:spacing w:after="80"/>
              <w:jc w:val="center"/>
              <w:rPr>
                <w:rFonts w:eastAsia="Times New Roman"/>
                <w:b/>
                <w:bCs/>
                <w:color w:val="000000"/>
              </w:rPr>
            </w:pPr>
            <w:r w:rsidRPr="00357D00">
              <w:rPr>
                <w:b/>
                <w:bCs/>
                <w:color w:val="000000"/>
              </w:rPr>
              <w:t>0</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0DC39A4D" w14:textId="7632A2C6" w:rsidR="00B44AE2" w:rsidRPr="0027040A" w:rsidRDefault="00B44AE2" w:rsidP="00B44AE2">
            <w:pPr>
              <w:spacing w:after="80"/>
              <w:jc w:val="center"/>
              <w:rPr>
                <w:b/>
                <w:bCs/>
                <w:color w:val="305CBE"/>
              </w:rPr>
            </w:pPr>
            <w:r w:rsidRPr="0027040A">
              <w:rPr>
                <w:b/>
                <w:bCs/>
                <w:color w:val="305CBE"/>
              </w:rPr>
              <w:t>211</w:t>
            </w:r>
          </w:p>
        </w:tc>
      </w:tr>
      <w:tr w:rsidR="00B44AE2" w:rsidRPr="0008781C" w14:paraId="66420337" w14:textId="24033B37" w:rsidTr="003920B3">
        <w:trPr>
          <w:trHeight w:val="765"/>
        </w:trPr>
        <w:tc>
          <w:tcPr>
            <w:tcW w:w="2482" w:type="dxa"/>
            <w:tcBorders>
              <w:top w:val="single" w:sz="8" w:space="0" w:color="auto"/>
              <w:left w:val="single" w:sz="8" w:space="0" w:color="auto"/>
              <w:bottom w:val="single" w:sz="8" w:space="0" w:color="auto"/>
              <w:right w:val="single" w:sz="8" w:space="0" w:color="auto"/>
            </w:tcBorders>
            <w:shd w:val="clear" w:color="auto" w:fill="ECF0F8"/>
            <w:vAlign w:val="center"/>
            <w:hideMark/>
          </w:tcPr>
          <w:p w14:paraId="174CB71D" w14:textId="77777777" w:rsidR="00B44AE2" w:rsidRPr="00357D00" w:rsidRDefault="00B44AE2" w:rsidP="00B44AE2">
            <w:pPr>
              <w:spacing w:after="80"/>
              <w:ind w:right="-115"/>
              <w:rPr>
                <w:rFonts w:eastAsia="Times New Roman"/>
                <w:b/>
                <w:bCs/>
                <w:color w:val="000000"/>
              </w:rPr>
            </w:pPr>
            <w:r w:rsidRPr="00357D00">
              <w:rPr>
                <w:rFonts w:eastAsia="Times New Roman"/>
                <w:b/>
                <w:bCs/>
                <w:color w:val="000000"/>
              </w:rPr>
              <w:t>Total Estimated Volume Per Fiscal Year</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19813D" w14:textId="77777777" w:rsidR="00B44AE2" w:rsidRPr="00357D00" w:rsidRDefault="00B44AE2" w:rsidP="00B44AE2">
            <w:pPr>
              <w:spacing w:after="80"/>
              <w:jc w:val="center"/>
              <w:rPr>
                <w:rFonts w:eastAsia="Times New Roman"/>
                <w:b/>
                <w:bCs/>
                <w:color w:val="000000"/>
              </w:rPr>
            </w:pPr>
            <w:r w:rsidRPr="00357D00">
              <w:rPr>
                <w:b/>
                <w:bCs/>
                <w:color w:val="000000"/>
              </w:rPr>
              <w:t>438,886</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6E7FF9B8" w14:textId="77777777" w:rsidR="00B44AE2" w:rsidRPr="00357D00" w:rsidRDefault="00B44AE2" w:rsidP="00B44AE2">
            <w:pPr>
              <w:spacing w:after="80"/>
              <w:jc w:val="center"/>
              <w:rPr>
                <w:rFonts w:eastAsia="Times New Roman"/>
                <w:b/>
                <w:bCs/>
                <w:color w:val="000000"/>
              </w:rPr>
            </w:pPr>
            <w:r w:rsidRPr="00357D00">
              <w:rPr>
                <w:b/>
                <w:bCs/>
                <w:color w:val="000000"/>
              </w:rPr>
              <w:t>12,131</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3E9BEBB9" w14:textId="77777777" w:rsidR="00B44AE2" w:rsidRPr="00357D00" w:rsidRDefault="00B44AE2" w:rsidP="00B44AE2">
            <w:pPr>
              <w:spacing w:after="80"/>
              <w:jc w:val="center"/>
              <w:rPr>
                <w:rFonts w:eastAsia="Times New Roman"/>
                <w:b/>
                <w:bCs/>
                <w:color w:val="000000"/>
              </w:rPr>
            </w:pPr>
            <w:r w:rsidRPr="00357D00">
              <w:rPr>
                <w:b/>
                <w:bCs/>
                <w:color w:val="000000"/>
              </w:rPr>
              <w:t>84</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7EAEF6FD" w14:textId="77777777" w:rsidR="00B44AE2" w:rsidRPr="00357D00" w:rsidRDefault="00B44AE2" w:rsidP="00B44AE2">
            <w:pPr>
              <w:spacing w:after="80"/>
              <w:jc w:val="center"/>
              <w:rPr>
                <w:rFonts w:eastAsia="Times New Roman"/>
                <w:b/>
                <w:bCs/>
                <w:color w:val="000000"/>
              </w:rPr>
            </w:pPr>
            <w:r w:rsidRPr="00357D00">
              <w:rPr>
                <w:b/>
                <w:bCs/>
                <w:color w:val="000000"/>
              </w:rPr>
              <w:t>84</w:t>
            </w:r>
          </w:p>
        </w:tc>
        <w:tc>
          <w:tcPr>
            <w:tcW w:w="1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9463F80" w14:textId="77777777" w:rsidR="00B44AE2" w:rsidRPr="00357D00" w:rsidRDefault="00B44AE2" w:rsidP="00B44AE2">
            <w:pPr>
              <w:spacing w:after="80"/>
              <w:jc w:val="center"/>
              <w:rPr>
                <w:rFonts w:eastAsia="Times New Roman"/>
                <w:b/>
                <w:bCs/>
                <w:color w:val="000000"/>
              </w:rPr>
            </w:pPr>
            <w:r w:rsidRPr="00357D00">
              <w:rPr>
                <w:b/>
                <w:bCs/>
                <w:color w:val="000000"/>
              </w:rPr>
              <w:t>2,325</w:t>
            </w:r>
          </w:p>
        </w:tc>
        <w:tc>
          <w:tcPr>
            <w:tcW w:w="16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6FEC115" w14:textId="77777777" w:rsidR="00B44AE2" w:rsidRPr="00357D00" w:rsidRDefault="00B44AE2" w:rsidP="00B44AE2">
            <w:pPr>
              <w:spacing w:after="80"/>
              <w:jc w:val="center"/>
              <w:rPr>
                <w:rFonts w:eastAsia="Times New Roman"/>
                <w:b/>
                <w:bCs/>
                <w:color w:val="000000"/>
              </w:rPr>
            </w:pPr>
            <w:r w:rsidRPr="00357D00">
              <w:rPr>
                <w:b/>
                <w:bCs/>
                <w:color w:val="000000"/>
              </w:rPr>
              <w:t>2,216</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2B036C26" w14:textId="53F8386C" w:rsidR="003920B3" w:rsidRPr="0027040A" w:rsidRDefault="00B44AE2" w:rsidP="003920B3">
            <w:pPr>
              <w:spacing w:after="80"/>
              <w:jc w:val="center"/>
              <w:rPr>
                <w:b/>
                <w:bCs/>
                <w:color w:val="305CBE"/>
              </w:rPr>
            </w:pPr>
            <w:r w:rsidRPr="0027040A">
              <w:rPr>
                <w:b/>
                <w:bCs/>
                <w:color w:val="305CBE"/>
              </w:rPr>
              <w:t>1,246</w:t>
            </w:r>
          </w:p>
        </w:tc>
      </w:tr>
    </w:tbl>
    <w:p w14:paraId="0C46EDDC" w14:textId="77777777" w:rsidR="00612137" w:rsidRDefault="00612137" w:rsidP="00612137">
      <w:pPr>
        <w:spacing w:after="0"/>
        <w:sectPr w:rsidR="00612137" w:rsidSect="00B44AE2">
          <w:footerReference w:type="default" r:id="rId15"/>
          <w:pgSz w:w="15840" w:h="12240" w:orient="landscape" w:code="1"/>
          <w:pgMar w:top="1440" w:right="1440" w:bottom="1354" w:left="994" w:header="432" w:footer="720" w:gutter="0"/>
          <w:cols w:space="720"/>
          <w:docGrid w:linePitch="360"/>
        </w:sectPr>
      </w:pPr>
    </w:p>
    <w:p w14:paraId="1A9D9801" w14:textId="77777777" w:rsidR="00087A2C" w:rsidRPr="00993F23" w:rsidRDefault="00087A2C" w:rsidP="00087A2C">
      <w:pPr>
        <w:spacing w:before="82"/>
        <w:ind w:left="936" w:right="936"/>
        <w:jc w:val="center"/>
        <w:outlineLvl w:val="0"/>
        <w:rPr>
          <w:b/>
          <w:sz w:val="28"/>
        </w:rPr>
      </w:pPr>
      <w:bookmarkStart w:id="11" w:name="_Toc157155126"/>
      <w:bookmarkStart w:id="12" w:name="_Toc427312844"/>
      <w:r w:rsidRPr="00993F23">
        <w:rPr>
          <w:b/>
          <w:sz w:val="28"/>
        </w:rPr>
        <w:lastRenderedPageBreak/>
        <w:t>E</w:t>
      </w:r>
      <w:r>
        <w:rPr>
          <w:b/>
          <w:sz w:val="28"/>
        </w:rPr>
        <w:t>xhibit</w:t>
      </w:r>
      <w:r w:rsidRPr="00993F23">
        <w:rPr>
          <w:b/>
          <w:sz w:val="28"/>
        </w:rPr>
        <w:t xml:space="preserve"> </w:t>
      </w:r>
      <w:r>
        <w:rPr>
          <w:b/>
          <w:sz w:val="28"/>
        </w:rPr>
        <w:t>J</w:t>
      </w:r>
      <w:r w:rsidRPr="00993F23">
        <w:rPr>
          <w:b/>
          <w:sz w:val="28"/>
        </w:rPr>
        <w:t xml:space="preserve"> – B</w:t>
      </w:r>
      <w:r>
        <w:rPr>
          <w:b/>
          <w:sz w:val="28"/>
        </w:rPr>
        <w:t>anking</w:t>
      </w:r>
      <w:r w:rsidRPr="00993F23">
        <w:rPr>
          <w:b/>
          <w:sz w:val="28"/>
        </w:rPr>
        <w:t xml:space="preserve"> S</w:t>
      </w:r>
      <w:r>
        <w:rPr>
          <w:b/>
          <w:sz w:val="28"/>
        </w:rPr>
        <w:t>ervices</w:t>
      </w:r>
      <w:r w:rsidRPr="00993F23">
        <w:rPr>
          <w:b/>
          <w:sz w:val="28"/>
        </w:rPr>
        <w:t xml:space="preserve"> S</w:t>
      </w:r>
      <w:r>
        <w:rPr>
          <w:b/>
          <w:sz w:val="28"/>
        </w:rPr>
        <w:t>chedules</w:t>
      </w:r>
      <w:bookmarkEnd w:id="11"/>
    </w:p>
    <w:p w14:paraId="2ADD2DCA" w14:textId="77777777" w:rsidR="00087A2C" w:rsidRPr="00993F23" w:rsidRDefault="00087A2C" w:rsidP="00087A2C">
      <w:pPr>
        <w:widowControl w:val="0"/>
        <w:numPr>
          <w:ilvl w:val="2"/>
          <w:numId w:val="9"/>
        </w:numPr>
        <w:autoSpaceDE w:val="0"/>
        <w:autoSpaceDN w:val="0"/>
        <w:spacing w:before="200" w:after="200" w:line="276" w:lineRule="auto"/>
        <w:ind w:left="360"/>
        <w:jc w:val="both"/>
        <w:rPr>
          <w:rFonts w:eastAsia="Calibri"/>
          <w:b/>
          <w:bCs/>
          <w:snapToGrid w:val="0"/>
          <w:u w:val="single"/>
        </w:rPr>
      </w:pPr>
      <w:bookmarkStart w:id="13" w:name="_Toc252451611"/>
      <w:bookmarkStart w:id="14" w:name="_Toc353365529"/>
      <w:bookmarkStart w:id="15" w:name="_Toc353373225"/>
      <w:bookmarkStart w:id="16" w:name="_Toc354741617"/>
      <w:bookmarkStart w:id="17" w:name="_Toc354741884"/>
      <w:bookmarkStart w:id="18" w:name="_Toc355102622"/>
      <w:bookmarkStart w:id="19" w:name="_Toc355106293"/>
      <w:r w:rsidRPr="00993F23">
        <w:rPr>
          <w:rFonts w:eastAsia="Calibri"/>
          <w:bCs/>
          <w:snapToGrid w:val="0"/>
        </w:rPr>
        <w:t>Schedule 1</w:t>
      </w:r>
      <w:r>
        <w:rPr>
          <w:rFonts w:eastAsia="Calibri"/>
          <w:bCs/>
          <w:snapToGrid w:val="0"/>
        </w:rPr>
        <w:t xml:space="preserve"> </w:t>
      </w:r>
      <w:r w:rsidRPr="00993F23">
        <w:rPr>
          <w:rFonts w:eastAsia="Calibri"/>
          <w:bCs/>
          <w:snapToGrid w:val="0"/>
        </w:rPr>
        <w:t>--</w:t>
      </w:r>
      <w:bookmarkStart w:id="20" w:name="_Toc251159803"/>
      <w:bookmarkStart w:id="21" w:name="_Toc355698100"/>
      <w:bookmarkStart w:id="22" w:name="_Toc356221138"/>
      <w:bookmarkStart w:id="23" w:name="_Toc356311052"/>
      <w:bookmarkStart w:id="24" w:name="_Toc358642247"/>
      <w:bookmarkStart w:id="25" w:name="_Toc358642924"/>
      <w:bookmarkStart w:id="26" w:name="_Toc359336666"/>
      <w:bookmarkStart w:id="27" w:name="_Toc378691944"/>
      <w:bookmarkStart w:id="28" w:name="_Toc381708371"/>
      <w:bookmarkStart w:id="29" w:name="_Toc381709218"/>
      <w:bookmarkStart w:id="30" w:name="_Toc381790653"/>
      <w:bookmarkStart w:id="31" w:name="_Toc381798400"/>
      <w:bookmarkStart w:id="32" w:name="_Toc381862496"/>
      <w:bookmarkStart w:id="33" w:name="_Toc384028556"/>
      <w:bookmarkStart w:id="34" w:name="_Toc385421216"/>
      <w:bookmarkStart w:id="35" w:name="_Toc385424994"/>
      <w:bookmarkStart w:id="36" w:name="_Toc385429253"/>
      <w:r w:rsidRPr="00993F23">
        <w:rPr>
          <w:rFonts w:eastAsia="Calibri"/>
          <w:bCs/>
          <w:caps/>
          <w:kern w:val="32"/>
        </w:rPr>
        <w:t xml:space="preserve"> </w:t>
      </w:r>
      <w:r w:rsidRPr="00993F23">
        <w:rPr>
          <w:rFonts w:eastAsia="Calibri"/>
          <w:bCs/>
          <w:snapToGrid w:val="0"/>
        </w:rPr>
        <w:t xml:space="preserve">ACH Debit Protection– </w:t>
      </w:r>
      <w:bookmarkEnd w:id="20"/>
      <w:r w:rsidRPr="00993F23">
        <w:rPr>
          <w:rFonts w:eastAsia="Calibri"/>
          <w:bCs/>
          <w:snapToGrid w:val="0"/>
        </w:rPr>
        <w:t>Electronic Payment Authorization</w:t>
      </w:r>
      <w:bookmarkStart w:id="37" w:name="_Toc251159804"/>
      <w:r w:rsidRPr="00993F23">
        <w:rPr>
          <w:rFonts w:eastAsia="Calibri"/>
          <w:bCs/>
          <w:snapToGrid w:val="0"/>
        </w:rPr>
        <w:t xml:space="preserve"> Servic</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93F23">
        <w:rPr>
          <w:rFonts w:eastAsia="Calibri"/>
          <w:bCs/>
          <w:snapToGrid w:val="0"/>
        </w:rPr>
        <w:t>es</w:t>
      </w:r>
    </w:p>
    <w:p w14:paraId="0232668B" w14:textId="77777777" w:rsidR="00087A2C" w:rsidRDefault="00087A2C" w:rsidP="00087A2C">
      <w:pPr>
        <w:widowControl w:val="0"/>
        <w:numPr>
          <w:ilvl w:val="2"/>
          <w:numId w:val="9"/>
        </w:numPr>
        <w:spacing w:before="200" w:after="200" w:line="276" w:lineRule="auto"/>
        <w:ind w:left="360"/>
        <w:jc w:val="both"/>
        <w:rPr>
          <w:rFonts w:eastAsia="Calibri"/>
          <w:bCs/>
          <w:snapToGrid w:val="0"/>
        </w:rPr>
      </w:pPr>
      <w:r w:rsidRPr="00993F23">
        <w:rPr>
          <w:rFonts w:eastAsia="Calibri"/>
          <w:bCs/>
          <w:snapToGrid w:val="0"/>
        </w:rPr>
        <w:t>Schedule 2</w:t>
      </w:r>
      <w:r>
        <w:rPr>
          <w:rFonts w:eastAsia="Calibri"/>
          <w:bCs/>
          <w:snapToGrid w:val="0"/>
        </w:rPr>
        <w:t xml:space="preserve"> -- </w:t>
      </w:r>
      <w:r w:rsidRPr="00993F23">
        <w:rPr>
          <w:rFonts w:eastAsia="Calibri"/>
          <w:bCs/>
          <w:snapToGrid w:val="0"/>
        </w:rPr>
        <w:t>Electronic and Manual Items Processing Services Schedule</w:t>
      </w:r>
    </w:p>
    <w:p w14:paraId="7673EAF0" w14:textId="273B96B2" w:rsidR="00087A2C" w:rsidRPr="0027040A" w:rsidRDefault="00087A2C" w:rsidP="00087A2C">
      <w:pPr>
        <w:widowControl w:val="0"/>
        <w:numPr>
          <w:ilvl w:val="2"/>
          <w:numId w:val="9"/>
        </w:numPr>
        <w:spacing w:before="200" w:after="200" w:line="276" w:lineRule="auto"/>
        <w:ind w:left="360"/>
        <w:jc w:val="both"/>
        <w:rPr>
          <w:color w:val="305CBE"/>
        </w:rPr>
      </w:pPr>
      <w:r w:rsidRPr="0027040A">
        <w:rPr>
          <w:color w:val="305CBE"/>
        </w:rPr>
        <w:t>Schedule 3 – Wire Transfer Service Schedule</w:t>
      </w:r>
    </w:p>
    <w:p w14:paraId="629492E6" w14:textId="77777777" w:rsidR="00087A2C" w:rsidRPr="00993F23" w:rsidRDefault="00087A2C" w:rsidP="00087A2C">
      <w:pPr>
        <w:keepNext/>
        <w:spacing w:after="200" w:line="276" w:lineRule="auto"/>
        <w:jc w:val="center"/>
        <w:rPr>
          <w:rFonts w:eastAsia="Calibri"/>
          <w:b/>
          <w:bCs/>
          <w:iCs/>
        </w:rPr>
      </w:pPr>
    </w:p>
    <w:p w14:paraId="78D4686E" w14:textId="77777777" w:rsidR="00087A2C" w:rsidRPr="00993F23" w:rsidRDefault="00087A2C" w:rsidP="00087A2C">
      <w:pPr>
        <w:keepNext/>
        <w:spacing w:after="200" w:line="276" w:lineRule="auto"/>
        <w:jc w:val="center"/>
        <w:outlineLvl w:val="1"/>
        <w:rPr>
          <w:rFonts w:eastAsia="Calibri"/>
          <w:b/>
          <w:bCs/>
          <w:iCs/>
        </w:rPr>
      </w:pPr>
    </w:p>
    <w:p w14:paraId="07B743DE" w14:textId="77777777" w:rsidR="00087A2C" w:rsidRPr="00993F23" w:rsidRDefault="00087A2C" w:rsidP="00087A2C">
      <w:pPr>
        <w:spacing w:line="276" w:lineRule="auto"/>
        <w:rPr>
          <w:rFonts w:eastAsia="Calibri"/>
          <w:b/>
          <w:bCs/>
          <w:iCs/>
        </w:rPr>
        <w:sectPr w:rsidR="00087A2C" w:rsidRPr="00993F23" w:rsidSect="000B7BF8">
          <w:footerReference w:type="default" r:id="rId16"/>
          <w:pgSz w:w="12240" w:h="15840"/>
          <w:pgMar w:top="1440" w:right="1440" w:bottom="1440" w:left="1440" w:header="720" w:footer="720" w:gutter="0"/>
          <w:pgNumType w:start="63"/>
          <w:cols w:space="720"/>
        </w:sectPr>
      </w:pPr>
    </w:p>
    <w:bookmarkEnd w:id="13"/>
    <w:bookmarkEnd w:id="14"/>
    <w:bookmarkEnd w:id="15"/>
    <w:bookmarkEnd w:id="16"/>
    <w:bookmarkEnd w:id="17"/>
    <w:bookmarkEnd w:id="18"/>
    <w:bookmarkEnd w:id="19"/>
    <w:p w14:paraId="1CB35186" w14:textId="77777777" w:rsidR="00087A2C" w:rsidRPr="00993F23" w:rsidRDefault="00087A2C" w:rsidP="00087A2C">
      <w:pPr>
        <w:tabs>
          <w:tab w:val="left" w:pos="0"/>
        </w:tabs>
        <w:adjustRightInd w:val="0"/>
        <w:spacing w:before="240" w:after="240"/>
        <w:jc w:val="center"/>
        <w:rPr>
          <w:b/>
          <w:u w:val="single"/>
        </w:rPr>
      </w:pPr>
      <w:r w:rsidRPr="00993F23">
        <w:rPr>
          <w:b/>
          <w:u w:val="single"/>
        </w:rPr>
        <w:lastRenderedPageBreak/>
        <w:t>S</w:t>
      </w:r>
      <w:r>
        <w:rPr>
          <w:b/>
          <w:u w:val="single"/>
        </w:rPr>
        <w:t>chedule</w:t>
      </w:r>
      <w:r w:rsidRPr="00993F23">
        <w:rPr>
          <w:b/>
          <w:u w:val="single"/>
        </w:rPr>
        <w:t xml:space="preserve"> 1 </w:t>
      </w:r>
    </w:p>
    <w:p w14:paraId="264B4C29" w14:textId="77777777" w:rsidR="00087A2C" w:rsidRPr="00993F23" w:rsidRDefault="00087A2C" w:rsidP="00087A2C">
      <w:pPr>
        <w:tabs>
          <w:tab w:val="left" w:pos="0"/>
        </w:tabs>
        <w:adjustRightInd w:val="0"/>
        <w:spacing w:before="240" w:after="240"/>
        <w:jc w:val="center"/>
        <w:rPr>
          <w:rFonts w:eastAsia="Calibri"/>
          <w:b/>
          <w:bCs/>
          <w:caps/>
          <w:kern w:val="32"/>
          <w:u w:val="single"/>
        </w:rPr>
      </w:pPr>
      <w:r w:rsidRPr="00993F23">
        <w:rPr>
          <w:rFonts w:eastAsia="Calibri"/>
          <w:b/>
          <w:bCs/>
          <w:caps/>
          <w:kern w:val="32"/>
          <w:u w:val="single"/>
        </w:rPr>
        <w:t>ACH DEBIT PROTECTION– ELECTRONIC PAYMENT AUTHORIZATION SERVICES</w:t>
      </w:r>
    </w:p>
    <w:p w14:paraId="31B58980" w14:textId="77777777" w:rsidR="00087A2C" w:rsidRPr="00993F23" w:rsidRDefault="00087A2C" w:rsidP="00087A2C">
      <w:pPr>
        <w:tabs>
          <w:tab w:val="left" w:pos="0"/>
        </w:tabs>
        <w:adjustRightInd w:val="0"/>
        <w:spacing w:before="240" w:after="240"/>
        <w:jc w:val="both"/>
        <w:rPr>
          <w:b/>
        </w:rPr>
      </w:pPr>
      <w:r w:rsidRPr="00993F23">
        <w:rPr>
          <w:b/>
        </w:rPr>
        <w:t xml:space="preserve">Nothing contained herein shall be construed to vary the terms of RFP </w:t>
      </w:r>
      <w:r>
        <w:rPr>
          <w:b/>
        </w:rPr>
        <w:t>23-103</w:t>
      </w:r>
      <w:r w:rsidRPr="00993F23">
        <w:rPr>
          <w:b/>
        </w:rPr>
        <w:t xml:space="preserve"> and/or the Base Contract.</w:t>
      </w:r>
    </w:p>
    <w:p w14:paraId="1C68CDB7" w14:textId="77777777" w:rsidR="00087A2C" w:rsidRPr="00993F23" w:rsidRDefault="00087A2C" w:rsidP="00087A2C">
      <w:pPr>
        <w:tabs>
          <w:tab w:val="left" w:pos="0"/>
          <w:tab w:val="left" w:pos="8415"/>
        </w:tabs>
        <w:adjustRightInd w:val="0"/>
        <w:spacing w:before="240" w:after="240"/>
        <w:jc w:val="both"/>
        <w:rPr>
          <w:rFonts w:eastAsia="Calibri"/>
        </w:rPr>
      </w:pPr>
      <w:r w:rsidRPr="00993F23">
        <w:rPr>
          <w:rFonts w:eastAsia="Calibri"/>
        </w:rPr>
        <w:t xml:space="preserve">The State and the Bank agree to the terms and conditions below: </w:t>
      </w:r>
      <w:r w:rsidRPr="00993F23">
        <w:rPr>
          <w:rFonts w:eastAsia="Calibri"/>
        </w:rPr>
        <w:tab/>
      </w:r>
    </w:p>
    <w:p w14:paraId="7BA8B3A1" w14:textId="77777777" w:rsidR="00087A2C" w:rsidRPr="00993F23" w:rsidRDefault="00087A2C" w:rsidP="00087A2C">
      <w:pPr>
        <w:widowControl w:val="0"/>
        <w:numPr>
          <w:ilvl w:val="0"/>
          <w:numId w:val="10"/>
        </w:numPr>
        <w:autoSpaceDE w:val="0"/>
        <w:autoSpaceDN w:val="0"/>
        <w:adjustRightInd w:val="0"/>
        <w:spacing w:before="120" w:after="120" w:line="240" w:lineRule="auto"/>
        <w:jc w:val="both"/>
        <w:rPr>
          <w:rFonts w:eastAsia="Calibri"/>
          <w:b/>
        </w:rPr>
      </w:pPr>
      <w:r w:rsidRPr="00993F23">
        <w:rPr>
          <w:rFonts w:eastAsia="Calibri"/>
          <w:b/>
          <w:u w:val="single"/>
        </w:rPr>
        <w:t>Protected Account</w:t>
      </w:r>
      <w:r w:rsidRPr="00993F23">
        <w:rPr>
          <w:rFonts w:eastAsia="Calibri"/>
          <w:b/>
        </w:rPr>
        <w:t>.</w:t>
      </w:r>
    </w:p>
    <w:p w14:paraId="120012A4" w14:textId="77777777" w:rsidR="00087A2C" w:rsidRPr="00993F23" w:rsidRDefault="00087A2C" w:rsidP="00087A2C">
      <w:pPr>
        <w:adjustRightInd w:val="0"/>
        <w:spacing w:before="120" w:after="120"/>
        <w:jc w:val="both"/>
        <w:rPr>
          <w:rFonts w:eastAsia="Calibri"/>
        </w:rPr>
      </w:pPr>
      <w:r w:rsidRPr="00993F23">
        <w:rPr>
          <w:rFonts w:eastAsia="Calibri"/>
        </w:rPr>
        <w:t>The State shall designate one or more of its accounts at the Bank with respect to which Bank shall provide the Automated Clearing House (“ACH”) protection services. Each such account shall hereinafter be referred to as a "Protected Account."</w:t>
      </w:r>
    </w:p>
    <w:p w14:paraId="27D7C777" w14:textId="77777777" w:rsidR="00087A2C" w:rsidRPr="00993F23" w:rsidRDefault="00087A2C" w:rsidP="00087A2C">
      <w:pPr>
        <w:widowControl w:val="0"/>
        <w:numPr>
          <w:ilvl w:val="0"/>
          <w:numId w:val="10"/>
        </w:numPr>
        <w:autoSpaceDE w:val="0"/>
        <w:autoSpaceDN w:val="0"/>
        <w:adjustRightInd w:val="0"/>
        <w:spacing w:before="120" w:after="120" w:line="240" w:lineRule="auto"/>
        <w:jc w:val="both"/>
        <w:rPr>
          <w:rFonts w:eastAsia="Calibri"/>
        </w:rPr>
      </w:pPr>
      <w:r w:rsidRPr="00993F23">
        <w:rPr>
          <w:rFonts w:eastAsia="Calibri"/>
          <w:b/>
          <w:u w:val="single"/>
        </w:rPr>
        <w:t>ACH Protection Services</w:t>
      </w:r>
      <w:r w:rsidRPr="00993F23">
        <w:rPr>
          <w:rFonts w:eastAsia="Calibri"/>
        </w:rPr>
        <w:t>.</w:t>
      </w:r>
    </w:p>
    <w:p w14:paraId="1C0BE850" w14:textId="77777777" w:rsidR="00087A2C" w:rsidRPr="00993F23" w:rsidRDefault="00087A2C" w:rsidP="00087A2C">
      <w:pPr>
        <w:adjustRightInd w:val="0"/>
        <w:spacing w:before="120" w:after="120"/>
        <w:jc w:val="both"/>
        <w:rPr>
          <w:rFonts w:eastAsia="Calibri"/>
        </w:rPr>
      </w:pPr>
      <w:r w:rsidRPr="00993F23">
        <w:rPr>
          <w:rFonts w:eastAsia="Calibri"/>
        </w:rPr>
        <w:t>With respect to each Protected Account, the Bank shall provide the State with the ability to immediately trigger one of the following protections, as selected by the State:</w:t>
      </w:r>
    </w:p>
    <w:p w14:paraId="0FDC14DD" w14:textId="77777777" w:rsidR="00087A2C" w:rsidRPr="00993F23" w:rsidRDefault="00087A2C" w:rsidP="00087A2C">
      <w:pPr>
        <w:widowControl w:val="0"/>
        <w:numPr>
          <w:ilvl w:val="1"/>
          <w:numId w:val="10"/>
        </w:numPr>
        <w:tabs>
          <w:tab w:val="num" w:pos="1080"/>
        </w:tabs>
        <w:autoSpaceDE w:val="0"/>
        <w:autoSpaceDN w:val="0"/>
        <w:adjustRightInd w:val="0"/>
        <w:spacing w:before="120" w:after="120" w:line="240" w:lineRule="auto"/>
        <w:ind w:left="1080"/>
        <w:jc w:val="both"/>
        <w:rPr>
          <w:rFonts w:eastAsia="Calibri"/>
        </w:rPr>
      </w:pPr>
      <w:r w:rsidRPr="00993F23">
        <w:rPr>
          <w:rFonts w:eastAsia="Calibri"/>
        </w:rPr>
        <w:t>The ability of the State to reject all ACH debit entries; or</w:t>
      </w:r>
    </w:p>
    <w:p w14:paraId="091926EC" w14:textId="77777777" w:rsidR="00087A2C" w:rsidRPr="00993F23" w:rsidRDefault="00087A2C" w:rsidP="00087A2C">
      <w:pPr>
        <w:widowControl w:val="0"/>
        <w:numPr>
          <w:ilvl w:val="1"/>
          <w:numId w:val="10"/>
        </w:numPr>
        <w:tabs>
          <w:tab w:val="num" w:pos="1080"/>
        </w:tabs>
        <w:autoSpaceDE w:val="0"/>
        <w:autoSpaceDN w:val="0"/>
        <w:adjustRightInd w:val="0"/>
        <w:spacing w:before="120" w:after="120" w:line="240" w:lineRule="auto"/>
        <w:ind w:left="1080"/>
        <w:jc w:val="both"/>
        <w:rPr>
          <w:rFonts w:eastAsia="Calibri"/>
        </w:rPr>
      </w:pPr>
      <w:r w:rsidRPr="00993F23">
        <w:rPr>
          <w:rFonts w:eastAsia="Calibri"/>
        </w:rPr>
        <w:t xml:space="preserve">The ability of the State to reject all ACH debit entries except those that meet the criteria specified by the State. </w:t>
      </w:r>
    </w:p>
    <w:p w14:paraId="24F6EDE6" w14:textId="77777777" w:rsidR="00087A2C" w:rsidRPr="00993F23" w:rsidRDefault="00087A2C" w:rsidP="00087A2C">
      <w:pPr>
        <w:adjustRightInd w:val="0"/>
        <w:spacing w:before="120" w:after="120"/>
        <w:jc w:val="both"/>
        <w:rPr>
          <w:rFonts w:eastAsia="Calibri"/>
        </w:rPr>
      </w:pPr>
      <w:r w:rsidRPr="00993F23">
        <w:rPr>
          <w:rFonts w:eastAsia="Calibri"/>
        </w:rPr>
        <w:t>The Bank shall provide to the State, as prescribed by the State a rejected entries report for every transaction on any day that has activity.  Entries are any monetary or non-monetary debit or credit origination submitted pursuant to N</w:t>
      </w:r>
      <w:r>
        <w:rPr>
          <w:rFonts w:eastAsia="Calibri"/>
        </w:rPr>
        <w:t>acha</w:t>
      </w:r>
      <w:r w:rsidRPr="00993F23">
        <w:rPr>
          <w:rFonts w:eastAsia="Calibri"/>
        </w:rPr>
        <w:t xml:space="preserve"> Operating Rules</w:t>
      </w:r>
      <w:r>
        <w:rPr>
          <w:rFonts w:eastAsia="Calibri"/>
        </w:rPr>
        <w:t xml:space="preserve"> and Guidelines</w:t>
      </w:r>
      <w:r w:rsidRPr="00993F23">
        <w:rPr>
          <w:rFonts w:eastAsia="Calibri"/>
        </w:rPr>
        <w:t>.</w:t>
      </w:r>
    </w:p>
    <w:p w14:paraId="301152F1" w14:textId="77777777" w:rsidR="00087A2C" w:rsidRPr="00993F23" w:rsidRDefault="00087A2C" w:rsidP="00087A2C">
      <w:pPr>
        <w:adjustRightInd w:val="0"/>
        <w:spacing w:before="120" w:after="120"/>
        <w:jc w:val="both"/>
        <w:rPr>
          <w:rFonts w:eastAsia="Calibri"/>
        </w:rPr>
      </w:pPr>
      <w:r w:rsidRPr="00993F23">
        <w:rPr>
          <w:rFonts w:eastAsia="Calibri"/>
        </w:rPr>
        <w:t>The State shall:</w:t>
      </w:r>
    </w:p>
    <w:p w14:paraId="23A7BED8" w14:textId="77777777" w:rsidR="00087A2C" w:rsidRPr="00993F23" w:rsidRDefault="00087A2C" w:rsidP="00087A2C">
      <w:pPr>
        <w:widowControl w:val="0"/>
        <w:numPr>
          <w:ilvl w:val="0"/>
          <w:numId w:val="14"/>
        </w:numPr>
        <w:autoSpaceDE w:val="0"/>
        <w:autoSpaceDN w:val="0"/>
        <w:adjustRightInd w:val="0"/>
        <w:spacing w:before="120" w:after="120" w:line="240" w:lineRule="auto"/>
        <w:ind w:left="1080"/>
        <w:jc w:val="both"/>
        <w:rPr>
          <w:rFonts w:eastAsia="Calibri"/>
        </w:rPr>
      </w:pPr>
      <w:r w:rsidRPr="00993F23">
        <w:rPr>
          <w:rFonts w:eastAsia="Calibri"/>
        </w:rPr>
        <w:t>Provide the information requested by the Bank regarding the ACH protection service being selected for each Protected Account in such format as prescribed by the Bank; and</w:t>
      </w:r>
    </w:p>
    <w:p w14:paraId="75512F65" w14:textId="77777777" w:rsidR="00087A2C" w:rsidRPr="00993F23" w:rsidRDefault="00087A2C" w:rsidP="00087A2C">
      <w:pPr>
        <w:widowControl w:val="0"/>
        <w:numPr>
          <w:ilvl w:val="0"/>
          <w:numId w:val="14"/>
        </w:numPr>
        <w:autoSpaceDE w:val="0"/>
        <w:autoSpaceDN w:val="0"/>
        <w:adjustRightInd w:val="0"/>
        <w:spacing w:before="120" w:after="120" w:line="240" w:lineRule="auto"/>
        <w:ind w:left="1080"/>
        <w:jc w:val="both"/>
        <w:rPr>
          <w:rFonts w:eastAsia="Calibri"/>
        </w:rPr>
      </w:pPr>
      <w:r w:rsidRPr="00993F23">
        <w:rPr>
          <w:rFonts w:eastAsia="Calibri"/>
        </w:rPr>
        <w:t>Indicate the effective date or dates for the ACH protection service.</w:t>
      </w:r>
    </w:p>
    <w:p w14:paraId="4694281B" w14:textId="77777777" w:rsidR="00087A2C" w:rsidRPr="00993F23" w:rsidRDefault="00087A2C" w:rsidP="00087A2C">
      <w:pPr>
        <w:widowControl w:val="0"/>
        <w:numPr>
          <w:ilvl w:val="0"/>
          <w:numId w:val="10"/>
        </w:numPr>
        <w:autoSpaceDE w:val="0"/>
        <w:autoSpaceDN w:val="0"/>
        <w:adjustRightInd w:val="0"/>
        <w:spacing w:before="120" w:after="120" w:line="240" w:lineRule="auto"/>
        <w:jc w:val="both"/>
        <w:rPr>
          <w:rFonts w:eastAsia="Calibri"/>
        </w:rPr>
      </w:pPr>
      <w:r w:rsidRPr="00993F23">
        <w:rPr>
          <w:rFonts w:eastAsia="Calibri"/>
          <w:b/>
          <w:u w:val="single"/>
        </w:rPr>
        <w:t>Subsequent Instructions</w:t>
      </w:r>
      <w:r w:rsidRPr="00993F23">
        <w:rPr>
          <w:rFonts w:eastAsia="Calibri"/>
        </w:rPr>
        <w:t>.</w:t>
      </w:r>
    </w:p>
    <w:p w14:paraId="3CD37BBC" w14:textId="77777777" w:rsidR="00087A2C" w:rsidRPr="00993F23" w:rsidRDefault="00087A2C" w:rsidP="00087A2C">
      <w:pPr>
        <w:adjustRightInd w:val="0"/>
        <w:spacing w:before="120" w:after="120"/>
        <w:jc w:val="both"/>
        <w:rPr>
          <w:rFonts w:eastAsia="Calibri"/>
        </w:rPr>
      </w:pPr>
      <w:r w:rsidRPr="00993F23">
        <w:rPr>
          <w:rFonts w:eastAsia="Calibri"/>
        </w:rPr>
        <w:t>Following the initial delivery of Set-Up Instructions to the Bank in accordance with Section 4 below, the State may deliver to the Bank additional subsequent instructions ("Subsequent Instructions"):</w:t>
      </w:r>
    </w:p>
    <w:p w14:paraId="183EB2AB" w14:textId="77777777" w:rsidR="00087A2C" w:rsidRPr="00993F23" w:rsidRDefault="00087A2C" w:rsidP="00087A2C">
      <w:pPr>
        <w:widowControl w:val="0"/>
        <w:numPr>
          <w:ilvl w:val="0"/>
          <w:numId w:val="11"/>
        </w:numPr>
        <w:tabs>
          <w:tab w:val="num" w:pos="1080"/>
        </w:tabs>
        <w:autoSpaceDE w:val="0"/>
        <w:autoSpaceDN w:val="0"/>
        <w:adjustRightInd w:val="0"/>
        <w:spacing w:before="120" w:after="120" w:line="240" w:lineRule="auto"/>
        <w:ind w:left="1080"/>
        <w:jc w:val="both"/>
        <w:rPr>
          <w:rFonts w:eastAsia="Calibri"/>
        </w:rPr>
      </w:pPr>
      <w:r w:rsidRPr="00993F23">
        <w:rPr>
          <w:rFonts w:eastAsia="Calibri"/>
        </w:rPr>
        <w:t>In writing on a data sheet form, signed by one or more State Administrator or</w:t>
      </w:r>
    </w:p>
    <w:p w14:paraId="3858F5A8" w14:textId="77777777" w:rsidR="00087A2C" w:rsidRPr="00993F23" w:rsidRDefault="00087A2C" w:rsidP="00087A2C">
      <w:pPr>
        <w:widowControl w:val="0"/>
        <w:numPr>
          <w:ilvl w:val="0"/>
          <w:numId w:val="11"/>
        </w:numPr>
        <w:autoSpaceDE w:val="0"/>
        <w:autoSpaceDN w:val="0"/>
        <w:adjustRightInd w:val="0"/>
        <w:spacing w:before="120" w:after="120" w:line="240" w:lineRule="auto"/>
        <w:ind w:left="1080"/>
        <w:jc w:val="both"/>
        <w:rPr>
          <w:rFonts w:eastAsia="Calibri"/>
        </w:rPr>
      </w:pPr>
      <w:r w:rsidRPr="00993F23">
        <w:rPr>
          <w:rFonts w:eastAsia="Calibri"/>
        </w:rPr>
        <w:t>Electronically through a secure or encrypted computer-to-computer transmission.</w:t>
      </w:r>
    </w:p>
    <w:p w14:paraId="47D4F5F6" w14:textId="77777777" w:rsidR="00087A2C" w:rsidRPr="00993F23" w:rsidRDefault="00087A2C" w:rsidP="00087A2C">
      <w:pPr>
        <w:adjustRightInd w:val="0"/>
        <w:spacing w:before="120" w:after="120"/>
        <w:jc w:val="both"/>
        <w:rPr>
          <w:rFonts w:eastAsia="Calibri"/>
        </w:rPr>
      </w:pPr>
      <w:r w:rsidRPr="00993F23">
        <w:rPr>
          <w:rFonts w:eastAsia="Calibri"/>
        </w:rPr>
        <w:t>The Bank shall have a reasonable time to implement any Subsequent Instructions received. The State shall designate in the Set-Up Instructions the method it intends to use to deliver Subsequent Instructions to the Bank.</w:t>
      </w:r>
    </w:p>
    <w:p w14:paraId="4FECC697" w14:textId="77777777" w:rsidR="00087A2C" w:rsidRPr="00993F23" w:rsidRDefault="00087A2C" w:rsidP="00087A2C">
      <w:pPr>
        <w:widowControl w:val="0"/>
        <w:numPr>
          <w:ilvl w:val="0"/>
          <w:numId w:val="10"/>
        </w:numPr>
        <w:autoSpaceDE w:val="0"/>
        <w:autoSpaceDN w:val="0"/>
        <w:adjustRightInd w:val="0"/>
        <w:spacing w:before="120" w:after="120" w:line="240" w:lineRule="auto"/>
        <w:jc w:val="both"/>
        <w:rPr>
          <w:rFonts w:eastAsia="Calibri"/>
        </w:rPr>
      </w:pPr>
      <w:r w:rsidRPr="00993F23">
        <w:rPr>
          <w:rFonts w:eastAsia="Calibri"/>
          <w:b/>
          <w:u w:val="single"/>
        </w:rPr>
        <w:t>Genuineness of Instructions</w:t>
      </w:r>
      <w:r w:rsidRPr="00993F23">
        <w:rPr>
          <w:rFonts w:eastAsia="Calibri"/>
        </w:rPr>
        <w:t>.</w:t>
      </w:r>
    </w:p>
    <w:p w14:paraId="498B8218" w14:textId="77777777" w:rsidR="00087A2C" w:rsidRPr="00993F23" w:rsidRDefault="00087A2C" w:rsidP="00087A2C">
      <w:pPr>
        <w:adjustRightInd w:val="0"/>
        <w:spacing w:before="120" w:after="120"/>
        <w:jc w:val="both"/>
        <w:rPr>
          <w:rFonts w:eastAsia="Calibri"/>
        </w:rPr>
      </w:pPr>
      <w:r w:rsidRPr="00993F23">
        <w:rPr>
          <w:rFonts w:eastAsia="Calibri"/>
        </w:rPr>
        <w:t>The State confirms that it has in place sufficient internal safeguards to prevent fraudulent Set-Up Instructions and/or Subsequent Instructions (collectively, "Instructions") from being generated.</w:t>
      </w:r>
    </w:p>
    <w:p w14:paraId="080ABA80" w14:textId="77777777" w:rsidR="00087A2C" w:rsidRPr="00993F23" w:rsidRDefault="00087A2C" w:rsidP="00087A2C">
      <w:pPr>
        <w:widowControl w:val="0"/>
        <w:numPr>
          <w:ilvl w:val="0"/>
          <w:numId w:val="10"/>
        </w:numPr>
        <w:autoSpaceDE w:val="0"/>
        <w:autoSpaceDN w:val="0"/>
        <w:adjustRightInd w:val="0"/>
        <w:spacing w:before="120" w:after="120" w:line="240" w:lineRule="auto"/>
        <w:jc w:val="both"/>
        <w:rPr>
          <w:rFonts w:eastAsia="Calibri"/>
        </w:rPr>
      </w:pPr>
      <w:r w:rsidRPr="00993F23">
        <w:rPr>
          <w:rFonts w:eastAsia="Calibri"/>
          <w:b/>
          <w:u w:val="single"/>
        </w:rPr>
        <w:t>Return of ACH Debit Entries</w:t>
      </w:r>
      <w:r w:rsidRPr="00993F23">
        <w:rPr>
          <w:rFonts w:eastAsia="Calibri"/>
        </w:rPr>
        <w:t>.</w:t>
      </w:r>
    </w:p>
    <w:p w14:paraId="1EA16392" w14:textId="77777777" w:rsidR="00087A2C" w:rsidRPr="00993F23" w:rsidRDefault="00087A2C" w:rsidP="00087A2C">
      <w:pPr>
        <w:adjustRightInd w:val="0"/>
        <w:spacing w:before="120" w:after="120"/>
        <w:jc w:val="both"/>
        <w:rPr>
          <w:rFonts w:eastAsia="Calibri"/>
        </w:rPr>
      </w:pPr>
      <w:r w:rsidRPr="00993F23">
        <w:rPr>
          <w:rFonts w:eastAsia="Calibri"/>
        </w:rPr>
        <w:t xml:space="preserve">The Bank shall return to the originating financial institution ACH debit entries in accordance with the Instructions (using an ACH return code that indicates the entry is unauthorized) within the time </w:t>
      </w:r>
      <w:r w:rsidRPr="00993F23">
        <w:rPr>
          <w:rFonts w:eastAsia="Calibri"/>
        </w:rPr>
        <w:lastRenderedPageBreak/>
        <w:t>period allowed by the applicable N</w:t>
      </w:r>
      <w:r>
        <w:rPr>
          <w:rFonts w:eastAsia="Calibri"/>
        </w:rPr>
        <w:t>acha</w:t>
      </w:r>
      <w:r w:rsidRPr="00993F23">
        <w:rPr>
          <w:rFonts w:eastAsia="Calibri"/>
        </w:rPr>
        <w:t xml:space="preserve"> ACH Operating Rules</w:t>
      </w:r>
      <w:r>
        <w:rPr>
          <w:rFonts w:eastAsia="Calibri"/>
        </w:rPr>
        <w:t xml:space="preserve"> and Guidelines</w:t>
      </w:r>
      <w:r w:rsidRPr="00993F23">
        <w:rPr>
          <w:rFonts w:eastAsia="Calibri"/>
        </w:rPr>
        <w:t>, as in effect from time to time.</w:t>
      </w:r>
    </w:p>
    <w:p w14:paraId="30758BD1" w14:textId="77777777" w:rsidR="00087A2C" w:rsidRPr="00993F23" w:rsidRDefault="00087A2C" w:rsidP="00087A2C">
      <w:pPr>
        <w:widowControl w:val="0"/>
        <w:numPr>
          <w:ilvl w:val="0"/>
          <w:numId w:val="10"/>
        </w:numPr>
        <w:autoSpaceDE w:val="0"/>
        <w:autoSpaceDN w:val="0"/>
        <w:adjustRightInd w:val="0"/>
        <w:spacing w:before="120" w:after="120" w:line="240" w:lineRule="auto"/>
        <w:jc w:val="both"/>
        <w:rPr>
          <w:rFonts w:eastAsia="Calibri"/>
        </w:rPr>
      </w:pPr>
      <w:r w:rsidRPr="00993F23">
        <w:rPr>
          <w:rFonts w:eastAsia="Calibri"/>
          <w:b/>
          <w:u w:val="single"/>
        </w:rPr>
        <w:t>State Information</w:t>
      </w:r>
      <w:r w:rsidRPr="00993F23">
        <w:rPr>
          <w:rFonts w:eastAsia="Calibri"/>
        </w:rPr>
        <w:t>.</w:t>
      </w:r>
    </w:p>
    <w:p w14:paraId="2881981C" w14:textId="77777777" w:rsidR="00087A2C" w:rsidRPr="00993F23" w:rsidRDefault="00087A2C" w:rsidP="00087A2C">
      <w:pPr>
        <w:tabs>
          <w:tab w:val="left" w:pos="8730"/>
        </w:tabs>
        <w:adjustRightInd w:val="0"/>
        <w:spacing w:before="120" w:after="120"/>
        <w:jc w:val="both"/>
        <w:rPr>
          <w:rFonts w:eastAsia="Calibri"/>
        </w:rPr>
      </w:pPr>
      <w:r w:rsidRPr="00993F23">
        <w:rPr>
          <w:rFonts w:eastAsia="Calibri"/>
        </w:rPr>
        <w:t xml:space="preserve">The State understands and acknowledges that, in order for the Bank to perform the Services hereunder, the State must provide all required information, including, the Instructions, in a timely manner, and such information must be accurate and complete. In the event that any such information is not timely, accurate and/or complete, the Bank may be unable to reject an entry in accordance with the Instructions, this Schedule or any related documents. The parties shall mutually agree in advance as to what constitutes “timely manner.” </w:t>
      </w:r>
    </w:p>
    <w:p w14:paraId="0EB53315" w14:textId="77777777" w:rsidR="00087A2C" w:rsidRPr="00993F23" w:rsidRDefault="00087A2C" w:rsidP="00087A2C">
      <w:pPr>
        <w:tabs>
          <w:tab w:val="left" w:pos="792"/>
        </w:tabs>
        <w:adjustRightInd w:val="0"/>
        <w:spacing w:before="120" w:after="120"/>
        <w:ind w:left="806" w:hanging="446"/>
        <w:jc w:val="both"/>
        <w:rPr>
          <w:rFonts w:eastAsia="Calibri"/>
        </w:rPr>
      </w:pPr>
      <w:r w:rsidRPr="00456C02">
        <w:rPr>
          <w:rFonts w:eastAsia="Calibri"/>
          <w:b/>
          <w:bCs/>
        </w:rPr>
        <w:t>7.</w:t>
      </w:r>
      <w:r w:rsidRPr="00993F23">
        <w:rPr>
          <w:rFonts w:eastAsia="Calibri"/>
        </w:rPr>
        <w:tab/>
      </w:r>
      <w:r w:rsidRPr="00993F23">
        <w:rPr>
          <w:b/>
          <w:bCs/>
          <w:u w:val="single"/>
        </w:rPr>
        <w:t>Account Documentation</w:t>
      </w:r>
      <w:r w:rsidRPr="00993F23">
        <w:rPr>
          <w:b/>
          <w:bCs/>
        </w:rPr>
        <w:t>.</w:t>
      </w:r>
    </w:p>
    <w:p w14:paraId="587555FD" w14:textId="77777777" w:rsidR="00087A2C" w:rsidRDefault="00087A2C" w:rsidP="00087A2C">
      <w:pPr>
        <w:jc w:val="both"/>
      </w:pPr>
      <w:r w:rsidRPr="00993F23">
        <w:rPr>
          <w:color w:val="000000"/>
        </w:rPr>
        <w:t>The State</w:t>
      </w:r>
      <w:r w:rsidRPr="00993F23">
        <w:t xml:space="preserve"> will execute and deliver to </w:t>
      </w:r>
      <w:r w:rsidRPr="00993F23">
        <w:rPr>
          <w:color w:val="000000"/>
        </w:rPr>
        <w:t>the</w:t>
      </w:r>
      <w:r w:rsidRPr="00993F23">
        <w:t xml:space="preserve"> Bank such account documentation (e.g., State Authorization Form) as the parties deem necessary.  The State agrees promptly to notify </w:t>
      </w:r>
      <w:r w:rsidRPr="00993F23">
        <w:rPr>
          <w:color w:val="000000"/>
        </w:rPr>
        <w:t>the</w:t>
      </w:r>
      <w:r w:rsidRPr="00993F23">
        <w:t xml:space="preserve"> Bank of any changes to any information presented in such documentation.</w:t>
      </w:r>
    </w:p>
    <w:p w14:paraId="2870AEF1" w14:textId="77777777" w:rsidR="00087A2C" w:rsidRDefault="00087A2C" w:rsidP="00087A2C"/>
    <w:p w14:paraId="05F419D6" w14:textId="77777777" w:rsidR="00087A2C" w:rsidRDefault="00087A2C" w:rsidP="00087A2C"/>
    <w:p w14:paraId="008FE8C2" w14:textId="77777777" w:rsidR="00087A2C" w:rsidRPr="00993F23" w:rsidRDefault="00087A2C" w:rsidP="00087A2C">
      <w:r w:rsidRPr="00993F23">
        <w:br w:type="page"/>
      </w:r>
    </w:p>
    <w:p w14:paraId="2BE10EEE" w14:textId="77777777" w:rsidR="00087A2C" w:rsidRPr="00993F23" w:rsidRDefault="00087A2C" w:rsidP="00087A2C">
      <w:pPr>
        <w:tabs>
          <w:tab w:val="left" w:pos="0"/>
        </w:tabs>
        <w:adjustRightInd w:val="0"/>
        <w:spacing w:before="240" w:after="240"/>
        <w:jc w:val="center"/>
        <w:rPr>
          <w:b/>
          <w:u w:val="single"/>
        </w:rPr>
      </w:pPr>
      <w:r w:rsidRPr="00993F23">
        <w:rPr>
          <w:b/>
          <w:u w:val="single"/>
        </w:rPr>
        <w:lastRenderedPageBreak/>
        <w:t>S</w:t>
      </w:r>
      <w:r>
        <w:rPr>
          <w:b/>
          <w:u w:val="single"/>
        </w:rPr>
        <w:t>chedule</w:t>
      </w:r>
      <w:r w:rsidRPr="00993F23">
        <w:rPr>
          <w:b/>
          <w:u w:val="single"/>
        </w:rPr>
        <w:t xml:space="preserve"> 2 </w:t>
      </w:r>
    </w:p>
    <w:p w14:paraId="740679A1" w14:textId="77777777" w:rsidR="00087A2C" w:rsidRPr="00993F23" w:rsidRDefault="00087A2C" w:rsidP="00087A2C">
      <w:pPr>
        <w:spacing w:after="200"/>
        <w:jc w:val="center"/>
        <w:rPr>
          <w:b/>
          <w:u w:val="single"/>
        </w:rPr>
      </w:pPr>
      <w:r w:rsidRPr="00993F23">
        <w:rPr>
          <w:b/>
          <w:u w:val="single"/>
        </w:rPr>
        <w:t>ELECTRONIC AND MANUAL ITEM(S) PROCESSING SERVICES SCHEDULE</w:t>
      </w:r>
    </w:p>
    <w:p w14:paraId="37751188" w14:textId="77777777" w:rsidR="00087A2C" w:rsidRPr="00993F23" w:rsidRDefault="00087A2C" w:rsidP="00087A2C">
      <w:pPr>
        <w:jc w:val="both"/>
        <w:rPr>
          <w:b/>
        </w:rPr>
      </w:pPr>
      <w:r w:rsidRPr="00993F23">
        <w:rPr>
          <w:b/>
        </w:rPr>
        <w:t xml:space="preserve">Nothing contained herein shall be construed to vary the terms of RFP </w:t>
      </w:r>
      <w:r>
        <w:rPr>
          <w:b/>
        </w:rPr>
        <w:t>23-103</w:t>
      </w:r>
      <w:r w:rsidRPr="00993F23">
        <w:rPr>
          <w:b/>
        </w:rPr>
        <w:t xml:space="preserve"> and/or the Base Contract.</w:t>
      </w:r>
    </w:p>
    <w:p w14:paraId="5163C1C0" w14:textId="77777777" w:rsidR="00087A2C" w:rsidRPr="00993F23" w:rsidRDefault="00087A2C" w:rsidP="00087A2C">
      <w:pPr>
        <w:jc w:val="both"/>
      </w:pPr>
      <w:r w:rsidRPr="00993F23">
        <w:t>The State and the Bank agree to the terms and conditions below:</w:t>
      </w:r>
    </w:p>
    <w:p w14:paraId="7B0CB252" w14:textId="77777777" w:rsidR="00087A2C" w:rsidRPr="00993F23" w:rsidRDefault="00087A2C" w:rsidP="00087A2C">
      <w:pPr>
        <w:widowControl w:val="0"/>
        <w:numPr>
          <w:ilvl w:val="0"/>
          <w:numId w:val="12"/>
        </w:numPr>
        <w:autoSpaceDE w:val="0"/>
        <w:autoSpaceDN w:val="0"/>
        <w:adjustRightInd w:val="0"/>
        <w:spacing w:before="240" w:after="240" w:line="240" w:lineRule="auto"/>
        <w:jc w:val="both"/>
        <w:rPr>
          <w:b/>
          <w:u w:val="single"/>
        </w:rPr>
      </w:pPr>
      <w:r w:rsidRPr="00993F23">
        <w:rPr>
          <w:b/>
          <w:u w:val="single"/>
        </w:rPr>
        <w:t>DEFINITIONS</w:t>
      </w:r>
      <w:r w:rsidRPr="00993F23">
        <w:rPr>
          <w:b/>
        </w:rPr>
        <w:t>.</w:t>
      </w:r>
    </w:p>
    <w:p w14:paraId="3121F03F" w14:textId="77777777" w:rsidR="00087A2C" w:rsidRPr="00993F23" w:rsidRDefault="00087A2C" w:rsidP="00087A2C">
      <w:pPr>
        <w:adjustRightInd w:val="0"/>
        <w:spacing w:before="240" w:after="240"/>
        <w:jc w:val="both"/>
        <w:rPr>
          <w:b/>
          <w:u w:val="single"/>
        </w:rPr>
      </w:pPr>
      <w:r w:rsidRPr="00993F23">
        <w:t>Definitions of terms for purposes of this Schedule 2 are as follows:</w:t>
      </w:r>
    </w:p>
    <w:p w14:paraId="7E0A6F7C" w14:textId="77777777" w:rsidR="00087A2C" w:rsidRPr="00993F23" w:rsidRDefault="00087A2C" w:rsidP="00087A2C">
      <w:pPr>
        <w:widowControl w:val="0"/>
        <w:numPr>
          <w:ilvl w:val="1"/>
          <w:numId w:val="13"/>
        </w:numPr>
        <w:spacing w:before="240" w:after="240" w:line="240" w:lineRule="auto"/>
        <w:jc w:val="both"/>
        <w:rPr>
          <w:b/>
        </w:rPr>
      </w:pPr>
      <w:r w:rsidRPr="00993F23">
        <w:t xml:space="preserve">"Bank" shall mean the Contractor awarded the </w:t>
      </w:r>
      <w:r>
        <w:t>C</w:t>
      </w:r>
      <w:r w:rsidRPr="00993F23">
        <w:t>ontract under RFP-</w:t>
      </w:r>
      <w:r>
        <w:t xml:space="preserve"> 23-103</w:t>
      </w:r>
      <w:r w:rsidRPr="00993F23">
        <w:t>.</w:t>
      </w:r>
    </w:p>
    <w:p w14:paraId="7163D6A3" w14:textId="77777777" w:rsidR="00087A2C" w:rsidRPr="00993F23" w:rsidRDefault="00087A2C" w:rsidP="00087A2C">
      <w:pPr>
        <w:widowControl w:val="0"/>
        <w:numPr>
          <w:ilvl w:val="1"/>
          <w:numId w:val="13"/>
        </w:numPr>
        <w:spacing w:before="240" w:after="240" w:line="240" w:lineRule="auto"/>
        <w:jc w:val="both"/>
        <w:rPr>
          <w:b/>
        </w:rPr>
      </w:pPr>
      <w:r w:rsidRPr="00993F23">
        <w:t>“MICR” shall mean magnetic ink character recognition.</w:t>
      </w:r>
    </w:p>
    <w:p w14:paraId="1E2E2F51" w14:textId="77777777" w:rsidR="00087A2C" w:rsidRPr="00993F23" w:rsidRDefault="00087A2C" w:rsidP="00087A2C">
      <w:pPr>
        <w:widowControl w:val="0"/>
        <w:numPr>
          <w:ilvl w:val="1"/>
          <w:numId w:val="13"/>
        </w:numPr>
        <w:spacing w:before="240" w:after="240" w:line="240" w:lineRule="auto"/>
        <w:jc w:val="both"/>
        <w:rPr>
          <w:b/>
        </w:rPr>
      </w:pPr>
      <w:r w:rsidRPr="00993F23">
        <w:t>“Original Check” shall mean the first paper check issued with respect to a particular payment transaction.</w:t>
      </w:r>
    </w:p>
    <w:p w14:paraId="6CD9F2E4" w14:textId="77777777" w:rsidR="00087A2C" w:rsidRPr="00993F23" w:rsidRDefault="00087A2C" w:rsidP="00087A2C">
      <w:pPr>
        <w:widowControl w:val="0"/>
        <w:numPr>
          <w:ilvl w:val="1"/>
          <w:numId w:val="13"/>
        </w:numPr>
        <w:spacing w:before="240" w:after="240" w:line="240" w:lineRule="auto"/>
        <w:jc w:val="both"/>
        <w:rPr>
          <w:b/>
        </w:rPr>
      </w:pPr>
      <w:r w:rsidRPr="00993F23">
        <w:t>“Electronic Item(s)” shall mean an Original Check that has been converted to an electronic image (front and back) of the Original Check, along with the electronic information concerning the check necessary for the Bank to process the check for deposit using electronic check clearing processes and which is transmitted to the Bank via ICL File transmission.</w:t>
      </w:r>
    </w:p>
    <w:p w14:paraId="00480513" w14:textId="77777777" w:rsidR="00087A2C" w:rsidRPr="00993F23" w:rsidRDefault="00087A2C" w:rsidP="00087A2C">
      <w:pPr>
        <w:widowControl w:val="0"/>
        <w:numPr>
          <w:ilvl w:val="1"/>
          <w:numId w:val="13"/>
        </w:numPr>
        <w:spacing w:before="240" w:after="240" w:line="240" w:lineRule="auto"/>
        <w:jc w:val="both"/>
        <w:rPr>
          <w:b/>
        </w:rPr>
      </w:pPr>
      <w:r w:rsidRPr="00993F23">
        <w:t>“Image Cash Letter (ICL) File” shall mean the electronic file containing Electronic Items presented by DTF to the Contractor for the processing of payments in a standardized format.</w:t>
      </w:r>
    </w:p>
    <w:p w14:paraId="65F76146" w14:textId="77777777" w:rsidR="00087A2C" w:rsidRPr="00993F23" w:rsidRDefault="00087A2C" w:rsidP="00087A2C">
      <w:pPr>
        <w:widowControl w:val="0"/>
        <w:numPr>
          <w:ilvl w:val="1"/>
          <w:numId w:val="13"/>
        </w:numPr>
        <w:spacing w:before="240" w:after="240" w:line="240" w:lineRule="auto"/>
        <w:jc w:val="both"/>
        <w:rPr>
          <w:b/>
        </w:rPr>
      </w:pPr>
      <w:r w:rsidRPr="00993F23">
        <w:t>“Manual Deposit” shall mean the processing of payments (e.g., Original Checks) which cannot be processed electronically.</w:t>
      </w:r>
    </w:p>
    <w:p w14:paraId="5E5B9D2F" w14:textId="77777777" w:rsidR="00087A2C" w:rsidRPr="00993F23" w:rsidRDefault="00087A2C" w:rsidP="00087A2C">
      <w:pPr>
        <w:widowControl w:val="0"/>
        <w:numPr>
          <w:ilvl w:val="1"/>
          <w:numId w:val="13"/>
        </w:numPr>
        <w:spacing w:before="240" w:after="240" w:line="240" w:lineRule="auto"/>
        <w:jc w:val="both"/>
        <w:rPr>
          <w:b/>
        </w:rPr>
      </w:pPr>
      <w:r w:rsidRPr="00993F23">
        <w:t>“Manual Items” shall mean Original Checks presented by DTF to the Contractor for deposit and payment processing because they cannot be cleared electronically (e.g., Non-Conforming Images, or Foreign Checks).</w:t>
      </w:r>
    </w:p>
    <w:p w14:paraId="7BAA0BBB" w14:textId="77777777" w:rsidR="00087A2C" w:rsidRPr="00993F23" w:rsidRDefault="00087A2C" w:rsidP="00087A2C">
      <w:pPr>
        <w:widowControl w:val="0"/>
        <w:numPr>
          <w:ilvl w:val="1"/>
          <w:numId w:val="13"/>
        </w:numPr>
        <w:spacing w:before="240" w:after="240" w:line="240" w:lineRule="auto"/>
        <w:jc w:val="both"/>
        <w:rPr>
          <w:b/>
        </w:rPr>
      </w:pPr>
      <w:r w:rsidRPr="00993F23">
        <w:t>“Truncate” or “Truncation” shall mean to remove an Original Check from the forward collection and payment process and send to the Contractor, in lieu of such Original Check, electronic information relating to the Original Check (data taken from the MICR line of the Original Check; and an electronic image of the Original Check).</w:t>
      </w:r>
    </w:p>
    <w:p w14:paraId="45910835" w14:textId="77777777" w:rsidR="00087A2C" w:rsidRPr="00993F23" w:rsidRDefault="00087A2C" w:rsidP="00087A2C">
      <w:pPr>
        <w:widowControl w:val="0"/>
        <w:numPr>
          <w:ilvl w:val="1"/>
          <w:numId w:val="13"/>
        </w:numPr>
        <w:spacing w:before="240" w:after="240" w:line="240" w:lineRule="auto"/>
        <w:jc w:val="both"/>
        <w:rPr>
          <w:b/>
        </w:rPr>
      </w:pPr>
      <w:r w:rsidRPr="00993F23">
        <w:t>“Electronic and Manual Item(s) Processing Services” shall mean the banking services to be provided pursuant to this Schedule whereby: (1) with respect to Electronic Item(s), the State will create ICL Files of Electronic Items (check data and image files) from Original Checks, to be transmitted to the Contractor for deposit and collection; and (2) with respect to Manual Item(s), the State will deliver Original Checks to the Contractor for deposit and collection.  Electronic and Manual Items Processing Services are together referred to in this Schedule 2 as “the Check Processing Services.”</w:t>
      </w:r>
    </w:p>
    <w:p w14:paraId="67F4BC15" w14:textId="77777777" w:rsidR="00087A2C" w:rsidRPr="00993F23" w:rsidRDefault="00087A2C" w:rsidP="00087A2C">
      <w:pPr>
        <w:widowControl w:val="0"/>
        <w:numPr>
          <w:ilvl w:val="1"/>
          <w:numId w:val="13"/>
        </w:numPr>
        <w:spacing w:before="240" w:after="240" w:line="240" w:lineRule="auto"/>
        <w:jc w:val="both"/>
        <w:rPr>
          <w:b/>
        </w:rPr>
      </w:pPr>
      <w:r w:rsidRPr="00993F23">
        <w:t>“Service Instruction(s)” shall mean any requirements or i</w:t>
      </w:r>
      <w:r w:rsidRPr="00993F23">
        <w:rPr>
          <w:b/>
        </w:rPr>
        <w:t>n</w:t>
      </w:r>
      <w:r w:rsidRPr="00993F23">
        <w:t>struction by the State that covers any of the Check Processing Services being provided.</w:t>
      </w:r>
    </w:p>
    <w:p w14:paraId="32E061DF" w14:textId="77777777" w:rsidR="00087A2C" w:rsidRPr="005E649B" w:rsidRDefault="00087A2C" w:rsidP="00087A2C">
      <w:pPr>
        <w:widowControl w:val="0"/>
        <w:numPr>
          <w:ilvl w:val="1"/>
          <w:numId w:val="13"/>
        </w:numPr>
        <w:spacing w:before="240" w:after="240" w:line="240" w:lineRule="auto"/>
        <w:jc w:val="both"/>
        <w:rPr>
          <w:u w:val="single"/>
        </w:rPr>
      </w:pPr>
      <w:r w:rsidRPr="00993F23">
        <w:lastRenderedPageBreak/>
        <w:t>“Substitute Check” has the meaning given by Check 21.</w:t>
      </w:r>
    </w:p>
    <w:p w14:paraId="65178598" w14:textId="77777777" w:rsidR="00087A2C" w:rsidRPr="00CF1D82" w:rsidRDefault="00087A2C" w:rsidP="00087A2C">
      <w:pPr>
        <w:widowControl w:val="0"/>
        <w:numPr>
          <w:ilvl w:val="0"/>
          <w:numId w:val="12"/>
        </w:numPr>
        <w:autoSpaceDE w:val="0"/>
        <w:autoSpaceDN w:val="0"/>
        <w:adjustRightInd w:val="0"/>
        <w:spacing w:before="240" w:after="240" w:line="240" w:lineRule="auto"/>
        <w:jc w:val="both"/>
        <w:rPr>
          <w:u w:val="single"/>
        </w:rPr>
      </w:pPr>
      <w:r w:rsidRPr="00CF1D82">
        <w:rPr>
          <w:b/>
          <w:bCs/>
          <w:u w:val="single"/>
        </w:rPr>
        <w:t>ACCOUNT DOCUMENTATION</w:t>
      </w:r>
      <w:r w:rsidRPr="00CF1D82">
        <w:rPr>
          <w:b/>
          <w:bCs/>
        </w:rPr>
        <w:t>.</w:t>
      </w:r>
    </w:p>
    <w:p w14:paraId="526D1366" w14:textId="77777777" w:rsidR="00087A2C" w:rsidRPr="00993F23" w:rsidRDefault="00087A2C" w:rsidP="00087A2C">
      <w:pPr>
        <w:adjustRightInd w:val="0"/>
        <w:spacing w:before="240" w:after="240"/>
        <w:jc w:val="both"/>
      </w:pPr>
      <w:r w:rsidRPr="00993F23">
        <w:rPr>
          <w:color w:val="000000"/>
        </w:rPr>
        <w:t>The State</w:t>
      </w:r>
      <w:r w:rsidRPr="00993F23">
        <w:t xml:space="preserve"> will execute and deliver to </w:t>
      </w:r>
      <w:r w:rsidRPr="00993F23">
        <w:rPr>
          <w:color w:val="000000"/>
        </w:rPr>
        <w:t>the</w:t>
      </w:r>
      <w:r w:rsidRPr="00993F23">
        <w:t xml:space="preserve"> Bank such account documentation (e.g., State Authorization Form) as the parties deem necessary.  The State agrees promptly to notify </w:t>
      </w:r>
      <w:r w:rsidRPr="00993F23">
        <w:rPr>
          <w:color w:val="000000"/>
        </w:rPr>
        <w:t>the</w:t>
      </w:r>
      <w:r w:rsidRPr="00993F23">
        <w:t xml:space="preserve"> Bank of any changes to any information presented in such documentation.</w:t>
      </w:r>
    </w:p>
    <w:p w14:paraId="3D8E2192" w14:textId="77777777" w:rsidR="00087A2C" w:rsidRPr="00993F23" w:rsidRDefault="00087A2C" w:rsidP="00087A2C">
      <w:pPr>
        <w:widowControl w:val="0"/>
        <w:numPr>
          <w:ilvl w:val="0"/>
          <w:numId w:val="12"/>
        </w:numPr>
        <w:autoSpaceDE w:val="0"/>
        <w:autoSpaceDN w:val="0"/>
        <w:adjustRightInd w:val="0"/>
        <w:spacing w:before="240" w:after="240" w:line="240" w:lineRule="auto"/>
        <w:jc w:val="both"/>
        <w:rPr>
          <w:u w:val="single"/>
        </w:rPr>
      </w:pPr>
      <w:r w:rsidRPr="00993F23">
        <w:rPr>
          <w:b/>
          <w:bCs/>
          <w:u w:val="single"/>
        </w:rPr>
        <w:t>THE STATE'S RECORDS AND MEDIA</w:t>
      </w:r>
      <w:r w:rsidRPr="00993F23">
        <w:rPr>
          <w:b/>
          <w:bCs/>
        </w:rPr>
        <w:t>.</w:t>
      </w:r>
    </w:p>
    <w:p w14:paraId="10AABF00" w14:textId="77777777" w:rsidR="00087A2C" w:rsidRPr="00993F23" w:rsidRDefault="00087A2C" w:rsidP="00087A2C">
      <w:pPr>
        <w:adjustRightInd w:val="0"/>
        <w:spacing w:before="240" w:after="240"/>
        <w:jc w:val="both"/>
      </w:pPr>
      <w:r w:rsidRPr="00993F23">
        <w:t xml:space="preserve">Prior to the implementation of the Check Processing Service(s), </w:t>
      </w:r>
      <w:r w:rsidRPr="00993F23">
        <w:rPr>
          <w:color w:val="000000"/>
        </w:rPr>
        <w:t>the State</w:t>
      </w:r>
      <w:r w:rsidRPr="00993F23">
        <w:t xml:space="preserve"> agrees to provide to </w:t>
      </w:r>
      <w:r w:rsidRPr="00993F23">
        <w:rPr>
          <w:color w:val="000000"/>
        </w:rPr>
        <w:t>the</w:t>
      </w:r>
      <w:r w:rsidRPr="00993F23">
        <w:t xml:space="preserve"> Bank all records and data processing media necessary to perform the Check Processing Service(s). The records will be legible, correct, complete, and in the format specified in RFP </w:t>
      </w:r>
      <w:r>
        <w:t>23-103</w:t>
      </w:r>
      <w:r w:rsidRPr="00993F23">
        <w:t>, and any Service Instructions provided by the State or agreed to by the parties. Checks presented as Electronic Items will be MICR encoded according to agreed specifications. The Bank, in consultation with the State, will determine the adequacy of the information and the format in which it is submitted.</w:t>
      </w:r>
    </w:p>
    <w:p w14:paraId="016E1821" w14:textId="77777777" w:rsidR="00087A2C" w:rsidRPr="00993F23" w:rsidRDefault="00087A2C" w:rsidP="00087A2C">
      <w:pPr>
        <w:widowControl w:val="0"/>
        <w:numPr>
          <w:ilvl w:val="0"/>
          <w:numId w:val="12"/>
        </w:numPr>
        <w:autoSpaceDE w:val="0"/>
        <w:autoSpaceDN w:val="0"/>
        <w:adjustRightInd w:val="0"/>
        <w:spacing w:before="240" w:after="240" w:line="240" w:lineRule="auto"/>
        <w:jc w:val="both"/>
      </w:pPr>
      <w:r w:rsidRPr="00993F23">
        <w:t xml:space="preserve"> </w:t>
      </w:r>
      <w:r w:rsidRPr="00993F23">
        <w:rPr>
          <w:b/>
          <w:caps/>
          <w:u w:val="single"/>
        </w:rPr>
        <w:t>Designated Accounts</w:t>
      </w:r>
      <w:r w:rsidRPr="00993F23">
        <w:rPr>
          <w:b/>
        </w:rPr>
        <w:t xml:space="preserve">.  </w:t>
      </w:r>
    </w:p>
    <w:p w14:paraId="77A05525" w14:textId="77777777" w:rsidR="00087A2C" w:rsidRPr="00993F23" w:rsidRDefault="00087A2C" w:rsidP="00087A2C">
      <w:pPr>
        <w:adjustRightInd w:val="0"/>
        <w:spacing w:before="240" w:after="240"/>
        <w:jc w:val="both"/>
      </w:pPr>
      <w:r w:rsidRPr="00993F23">
        <w:t>The State shall designate one or more deposit accounts at the Bank (collectively, the "Account") with respect to which the Check Processing Services shall apply. The number and title of each Account and any special instructions are set forth in Set-Up Instructions completed between the parties as may be amended in writing, signed by the parties, from time to time. Each new account shall be designated in a new Set-up Instruction. In order for the Bank to perform the Check Processing Services hereunder, the State must provide all information required by the Bank, and such information must be accurate and complete. In the event that any such information is not timely, accurate or complete, the Bank may be unable to process an Electronic or Manual Item.</w:t>
      </w:r>
    </w:p>
    <w:p w14:paraId="5CEF5E42" w14:textId="77777777" w:rsidR="00087A2C" w:rsidRPr="00993F23" w:rsidRDefault="00087A2C" w:rsidP="00087A2C">
      <w:pPr>
        <w:widowControl w:val="0"/>
        <w:numPr>
          <w:ilvl w:val="0"/>
          <w:numId w:val="12"/>
        </w:numPr>
        <w:autoSpaceDE w:val="0"/>
        <w:autoSpaceDN w:val="0"/>
        <w:adjustRightInd w:val="0"/>
        <w:spacing w:before="240" w:after="240" w:line="240" w:lineRule="auto"/>
        <w:jc w:val="both"/>
        <w:rPr>
          <w:b/>
        </w:rPr>
      </w:pPr>
      <w:r w:rsidRPr="00993F23">
        <w:rPr>
          <w:b/>
          <w:caps/>
          <w:u w:val="single"/>
        </w:rPr>
        <w:t>Responsibilities of the State</w:t>
      </w:r>
      <w:r w:rsidRPr="00993F23">
        <w:rPr>
          <w:b/>
        </w:rPr>
        <w:t>.</w:t>
      </w:r>
    </w:p>
    <w:p w14:paraId="65FFEC0E" w14:textId="77777777" w:rsidR="00087A2C" w:rsidRPr="00993F23" w:rsidRDefault="00087A2C" w:rsidP="00087A2C">
      <w:pPr>
        <w:adjustRightInd w:val="0"/>
        <w:spacing w:before="240" w:after="240"/>
        <w:jc w:val="both"/>
      </w:pPr>
      <w:r w:rsidRPr="00993F23">
        <w:t xml:space="preserve">A. The State shall truncate those one or more Original Checks that the State has received for payment or deposit and which the State has selected for truncation. The State shall create ICL Files containing such truncated Original Checks (collectively, "Electronic Items") and shall transmit such ICL Files to the Bank.  Original Checks which cannot be deposited as Electronic Items (e.g., Foreign Checks or truncated checks resulting in Non-Conforming Images) shall be presented by the State to the Contractor for Manual Deposit. </w:t>
      </w:r>
    </w:p>
    <w:p w14:paraId="260FCC60" w14:textId="77777777" w:rsidR="00087A2C" w:rsidRPr="00993F23" w:rsidRDefault="00087A2C" w:rsidP="00087A2C">
      <w:pPr>
        <w:adjustRightInd w:val="0"/>
        <w:spacing w:before="240" w:after="240"/>
        <w:jc w:val="both"/>
      </w:pPr>
      <w:r w:rsidRPr="00993F23">
        <w:t>B. After truncation of an Original Check, the State shall safeguard the Electronic Items and Original Checks identified in any ICL File previously sent to the Bank in order to assure that such Original Checks and Electronic Items: (i) shall not be submitted for deposit with the Bank or any other financial institution, unless necessary, which shall be a determination made by the State in its sole discretion, but such discretion shall not be unreasonably exercised, and the State will provide notice of such exercise of discretion to the Bank, and (ii) shall not be transferred for value to any other person or other entity, and (iii) will be responsible for complying with image forwarding requirements under the Check Clearing for the 21st Century Act (Public Law 108-100).</w:t>
      </w:r>
    </w:p>
    <w:p w14:paraId="472038F2" w14:textId="77777777" w:rsidR="00087A2C" w:rsidRPr="0087744C" w:rsidRDefault="00087A2C" w:rsidP="00087A2C">
      <w:pPr>
        <w:adjustRightInd w:val="0"/>
        <w:spacing w:before="240" w:after="240"/>
        <w:jc w:val="both"/>
      </w:pPr>
      <w:r w:rsidRPr="00993F23">
        <w:t xml:space="preserve">C. The State shall retain and securely store all Original Checks truncated for a minimum period of </w:t>
      </w:r>
      <w:r>
        <w:t xml:space="preserve">30 </w:t>
      </w:r>
      <w:r w:rsidRPr="00993F23">
        <w:t xml:space="preserve">calendar days, after which time the State may destroy such Original Checks; the State agrees </w:t>
      </w:r>
      <w:r w:rsidRPr="00993F23">
        <w:lastRenderedPageBreak/>
        <w:t xml:space="preserve">that such retention and destruction shall be carried out in a reasonable manner. The State may maintain copies of ICL Files or </w:t>
      </w:r>
      <w:r w:rsidRPr="0087744C">
        <w:t xml:space="preserve">Electronic Items.  </w:t>
      </w:r>
    </w:p>
    <w:p w14:paraId="3A356CFD" w14:textId="77777777" w:rsidR="00087A2C" w:rsidRPr="0087744C" w:rsidRDefault="00087A2C" w:rsidP="00087A2C">
      <w:pPr>
        <w:adjustRightInd w:val="0"/>
        <w:spacing w:before="240" w:after="240"/>
        <w:jc w:val="both"/>
      </w:pPr>
      <w:r w:rsidRPr="0087744C">
        <w:t>D. The State shall not knowingly truncate nor create an ICL File under this Agreement for:</w:t>
      </w:r>
    </w:p>
    <w:p w14:paraId="2EA2EDEB" w14:textId="77777777" w:rsidR="00087A2C" w:rsidRPr="00993F23" w:rsidRDefault="00087A2C" w:rsidP="00087A2C">
      <w:pPr>
        <w:adjustRightInd w:val="0"/>
        <w:spacing w:before="240" w:after="240"/>
        <w:jc w:val="both"/>
      </w:pPr>
      <w:r w:rsidRPr="0087744C">
        <w:t xml:space="preserve">(i). Any </w:t>
      </w:r>
      <w:r>
        <w:t>F</w:t>
      </w:r>
      <w:r w:rsidRPr="0087744C">
        <w:t xml:space="preserve">oreign </w:t>
      </w:r>
      <w:r>
        <w:t>C</w:t>
      </w:r>
      <w:r w:rsidRPr="0087744C">
        <w:t>hecks, drafts or other items drawn on any financial institution that is not located in any State (as defined in Regulation CC) in the U.S.A. (including certain designated U.S. Territories that are included as States),</w:t>
      </w:r>
    </w:p>
    <w:p w14:paraId="3B8E1934" w14:textId="77777777" w:rsidR="00087A2C" w:rsidRPr="00993F23" w:rsidRDefault="00087A2C" w:rsidP="00087A2C">
      <w:pPr>
        <w:adjustRightInd w:val="0"/>
        <w:spacing w:before="240" w:after="240"/>
        <w:jc w:val="both"/>
      </w:pPr>
      <w:r w:rsidRPr="00993F23">
        <w:t xml:space="preserve">(ii). Any automated clearing house (ACH) entry subject to the rules of the National Automated Clearing House Association (the "Rules"), </w:t>
      </w:r>
    </w:p>
    <w:p w14:paraId="5569A8A5" w14:textId="77777777" w:rsidR="00087A2C" w:rsidRPr="00993F23" w:rsidRDefault="00087A2C" w:rsidP="00087A2C">
      <w:pPr>
        <w:adjustRightInd w:val="0"/>
        <w:spacing w:before="240" w:after="240"/>
        <w:jc w:val="both"/>
        <w:rPr>
          <w:highlight w:val="yellow"/>
        </w:rPr>
      </w:pPr>
      <w:r w:rsidRPr="00993F23">
        <w:t>(iii). Any Substitute Check created by the Bank or any other person or other entity except as provided for redeposit of a returned check or returned Electronic Item,</w:t>
      </w:r>
    </w:p>
    <w:p w14:paraId="5177AA17" w14:textId="77777777" w:rsidR="00087A2C" w:rsidRPr="00993F23" w:rsidRDefault="00087A2C" w:rsidP="00087A2C">
      <w:pPr>
        <w:adjustRightInd w:val="0"/>
        <w:spacing w:before="240" w:after="240"/>
        <w:jc w:val="both"/>
      </w:pPr>
      <w:r w:rsidRPr="00993F23">
        <w:t>(iv). U.S. savings bonds, and</w:t>
      </w:r>
    </w:p>
    <w:p w14:paraId="76C520A0" w14:textId="77777777" w:rsidR="00087A2C" w:rsidRPr="00993F23" w:rsidRDefault="00087A2C" w:rsidP="00087A2C">
      <w:pPr>
        <w:adjustRightInd w:val="0"/>
        <w:spacing w:before="240" w:after="240"/>
        <w:jc w:val="both"/>
      </w:pPr>
      <w:r w:rsidRPr="00993F23">
        <w:t>(v). Other items that are not eligible for check image collection and presentment under applicable law.</w:t>
      </w:r>
    </w:p>
    <w:p w14:paraId="03818607" w14:textId="77777777" w:rsidR="00087A2C" w:rsidRPr="00993F23" w:rsidRDefault="00087A2C" w:rsidP="00087A2C">
      <w:pPr>
        <w:adjustRightInd w:val="0"/>
        <w:spacing w:before="240" w:after="240"/>
        <w:jc w:val="both"/>
      </w:pPr>
      <w:r w:rsidRPr="00993F23">
        <w:t xml:space="preserve">E. For all purposes under this Schedule 2, any other agreements with the Bank relating to the Account, and the application of applicable law to the Check Processing Services provided hereunder, an Electronic Item shall be deemed to be a "check" and/or an "item" as such terms are used and defined in the Uniform Commercial Code, the Expedited Funds Availability Act, Regulation CC and Regulation J of the Federal Reserve Board and other applicable check law and rules to the same extent that the Original Check is a check and/or an item. </w:t>
      </w:r>
    </w:p>
    <w:p w14:paraId="1AFF5D3D" w14:textId="77777777" w:rsidR="00087A2C" w:rsidRPr="00993F23" w:rsidRDefault="00087A2C" w:rsidP="00087A2C">
      <w:pPr>
        <w:adjustRightInd w:val="0"/>
        <w:spacing w:before="240" w:after="240"/>
        <w:jc w:val="both"/>
      </w:pPr>
      <w:r w:rsidRPr="00993F23">
        <w:t xml:space="preserve">F. The State agrees to pay the Bank for the amount of any claims for Adjustments reasonably accepted by the Bank, for any Manual Items or Electronic Items which the Bank has previously credited to the State’s account.  Such amounts will be charged as adjustments to the State’s account.   Such payment will be in accord with the Agreement and the pricing set forth in the Contractor’s </w:t>
      </w:r>
      <w:r>
        <w:t>P</w:t>
      </w:r>
      <w:r w:rsidRPr="00993F23">
        <w:t xml:space="preserve">roposal submitted in response to RFP </w:t>
      </w:r>
      <w:r>
        <w:t>23-103</w:t>
      </w:r>
      <w:r w:rsidRPr="00993F23">
        <w:t>.</w:t>
      </w:r>
    </w:p>
    <w:p w14:paraId="51A8A475" w14:textId="77777777" w:rsidR="00087A2C" w:rsidRPr="00993F23" w:rsidRDefault="00087A2C" w:rsidP="00087A2C">
      <w:pPr>
        <w:widowControl w:val="0"/>
        <w:numPr>
          <w:ilvl w:val="0"/>
          <w:numId w:val="12"/>
        </w:numPr>
        <w:autoSpaceDE w:val="0"/>
        <w:autoSpaceDN w:val="0"/>
        <w:adjustRightInd w:val="0"/>
        <w:spacing w:before="240" w:after="240" w:line="240" w:lineRule="auto"/>
        <w:jc w:val="both"/>
      </w:pPr>
      <w:r w:rsidRPr="00993F23">
        <w:rPr>
          <w:b/>
          <w:caps/>
          <w:u w:val="single"/>
        </w:rPr>
        <w:t>Services; Responsibilities of Bank</w:t>
      </w:r>
      <w:r w:rsidRPr="00993F23">
        <w:rPr>
          <w:b/>
        </w:rPr>
        <w:t>.</w:t>
      </w:r>
    </w:p>
    <w:p w14:paraId="4DB9F84A" w14:textId="77777777" w:rsidR="00087A2C" w:rsidRPr="00993F23" w:rsidRDefault="00087A2C" w:rsidP="00087A2C">
      <w:pPr>
        <w:adjustRightInd w:val="0"/>
        <w:spacing w:before="240" w:after="240"/>
        <w:jc w:val="both"/>
      </w:pPr>
      <w:r w:rsidRPr="00993F23">
        <w:t xml:space="preserve">A. The Bank shall accept for deposit at the Bank's designated location(s) all Manual Items and ICL Files containing Electronic Items transmitted by the State, which are acceptable as agreed to by the parties or otherwise qualify based on criteria selected by the parties from time to time. The Bank shall process such Electronic Items, either as electronic image exchange items or as Substitute Checks, for forward collection and presentment for payment by the paying bank, subject to applicable laws and regulations and clearinghouse rules. ICL Files will be deemed received by the Bank when the State has received an electronic acknowledgement file from the Bank, as required by RFP </w:t>
      </w:r>
      <w:r>
        <w:t>23-103</w:t>
      </w:r>
      <w:r w:rsidRPr="00993F23">
        <w:t>.</w:t>
      </w:r>
    </w:p>
    <w:p w14:paraId="72771C46" w14:textId="77777777" w:rsidR="00087A2C" w:rsidRPr="00993F23" w:rsidRDefault="00087A2C" w:rsidP="00087A2C">
      <w:pPr>
        <w:adjustRightInd w:val="0"/>
        <w:spacing w:before="240" w:after="240"/>
        <w:jc w:val="both"/>
      </w:pPr>
      <w:r w:rsidRPr="00993F23">
        <w:t xml:space="preserve">B. Electronic Items received by Bank before Bank's cut-off time, as mutually agreed to by the parties, but not inconsistent with the provisions of the RFP, and/or the Proposal when applicable, shall be posted to the State's Account for settlement that Banking Day. Manual Items are processed as set forth in RFP </w:t>
      </w:r>
      <w:r>
        <w:t>23-103</w:t>
      </w:r>
      <w:r w:rsidRPr="00993F23">
        <w:t xml:space="preserve">. The Bank will make a deposit to the Account available for withdrawal as prescribed in RFP </w:t>
      </w:r>
      <w:r>
        <w:t>23-103</w:t>
      </w:r>
      <w:r w:rsidRPr="00993F23">
        <w:t xml:space="preserve">. </w:t>
      </w:r>
    </w:p>
    <w:p w14:paraId="5E84B120" w14:textId="77777777" w:rsidR="00087A2C" w:rsidRPr="00993F23" w:rsidRDefault="00087A2C" w:rsidP="00087A2C">
      <w:pPr>
        <w:tabs>
          <w:tab w:val="left" w:pos="1080"/>
        </w:tabs>
        <w:adjustRightInd w:val="0"/>
        <w:spacing w:before="240" w:after="240"/>
        <w:jc w:val="both"/>
        <w:rPr>
          <w:b/>
        </w:rPr>
      </w:pPr>
      <w:r w:rsidRPr="00993F23">
        <w:rPr>
          <w:b/>
          <w:caps/>
        </w:rPr>
        <w:lastRenderedPageBreak/>
        <w:t>7.</w:t>
      </w:r>
      <w:r w:rsidRPr="00993F23">
        <w:rPr>
          <w:b/>
          <w:caps/>
        </w:rPr>
        <w:tab/>
      </w:r>
      <w:r w:rsidRPr="00993F23">
        <w:rPr>
          <w:b/>
          <w:caps/>
          <w:u w:val="single"/>
        </w:rPr>
        <w:t>Security Procedures</w:t>
      </w:r>
      <w:r w:rsidRPr="00993F23">
        <w:rPr>
          <w:b/>
        </w:rPr>
        <w:t>.</w:t>
      </w:r>
    </w:p>
    <w:p w14:paraId="238BF0AB" w14:textId="77777777" w:rsidR="00087A2C" w:rsidRPr="00993F23" w:rsidRDefault="00087A2C" w:rsidP="00087A2C">
      <w:pPr>
        <w:adjustRightInd w:val="0"/>
        <w:spacing w:before="240" w:after="240"/>
        <w:jc w:val="both"/>
      </w:pPr>
      <w:r w:rsidRPr="00993F23">
        <w:t xml:space="preserve">A. When an ICL File is transmitted to the Bank, its authenticity will be confirmed by the State prior to transmission pursuant to the security procedure mutually agreed upon by the State and the Bank. The State agrees that the security procedures selected are reasonable for the State. </w:t>
      </w:r>
    </w:p>
    <w:p w14:paraId="4A9C9401" w14:textId="77777777" w:rsidR="00087A2C" w:rsidRPr="00993F23" w:rsidRDefault="00087A2C" w:rsidP="00087A2C">
      <w:pPr>
        <w:adjustRightInd w:val="0"/>
        <w:spacing w:before="240" w:after="240"/>
        <w:jc w:val="both"/>
      </w:pPr>
      <w:r w:rsidRPr="00993F23">
        <w:t xml:space="preserve">B. The State shall at all times maintain safeguards and security procedures to prevent unauthorized or fraudulent Set-Up Instructions and fraudulent or unauthorized ICL Files or Electronic Items. The State shall establish procedures that ensure deposits are made only by those employees authorized to do so. </w:t>
      </w:r>
    </w:p>
    <w:p w14:paraId="73E6D9EE" w14:textId="77777777" w:rsidR="00087A2C" w:rsidRPr="00993F23" w:rsidRDefault="00087A2C" w:rsidP="00087A2C">
      <w:pPr>
        <w:adjustRightInd w:val="0"/>
        <w:spacing w:before="240" w:after="240"/>
        <w:jc w:val="both"/>
      </w:pPr>
      <w:r w:rsidRPr="00993F23">
        <w:t>C. Security or operational procedures for the detection of State errors in creating any Electronic Item or ICL File are not provided by the Bank.</w:t>
      </w:r>
    </w:p>
    <w:p w14:paraId="2F03875C" w14:textId="77777777" w:rsidR="00087A2C" w:rsidRDefault="00087A2C" w:rsidP="00612137">
      <w:pPr>
        <w:pStyle w:val="Heading1"/>
        <w:jc w:val="center"/>
        <w:rPr>
          <w:rFonts w:ascii="Arial" w:eastAsia="Arial" w:hAnsi="Arial" w:cs="Arial"/>
          <w:bCs w:val="0"/>
          <w:color w:val="0070C0"/>
          <w:kern w:val="0"/>
          <w:sz w:val="28"/>
          <w:szCs w:val="22"/>
          <w:u w:val="single"/>
          <w:lang w:val="en-US" w:eastAsia="en-US"/>
        </w:rPr>
        <w:sectPr w:rsidR="00087A2C" w:rsidSect="000B7BF8">
          <w:pgSz w:w="12240" w:h="15840" w:code="1"/>
          <w:pgMar w:top="1440" w:right="1354" w:bottom="994" w:left="1440" w:header="432" w:footer="720" w:gutter="0"/>
          <w:cols w:space="720"/>
          <w:docGrid w:linePitch="360"/>
        </w:sectPr>
      </w:pPr>
    </w:p>
    <w:p w14:paraId="33A85CAD" w14:textId="0D542746" w:rsidR="001565A8" w:rsidRPr="0027040A" w:rsidRDefault="001565A8" w:rsidP="001565A8">
      <w:pPr>
        <w:tabs>
          <w:tab w:val="left" w:pos="0"/>
        </w:tabs>
        <w:adjustRightInd w:val="0"/>
        <w:spacing w:before="240" w:after="240"/>
        <w:jc w:val="center"/>
        <w:rPr>
          <w:b/>
          <w:color w:val="305CBE"/>
          <w:u w:val="single"/>
        </w:rPr>
      </w:pPr>
      <w:r w:rsidRPr="0027040A">
        <w:rPr>
          <w:b/>
          <w:color w:val="305CBE"/>
          <w:u w:val="single"/>
        </w:rPr>
        <w:lastRenderedPageBreak/>
        <w:t>Schedule 3</w:t>
      </w:r>
    </w:p>
    <w:p w14:paraId="0006D698" w14:textId="23BA5AFA" w:rsidR="00612137" w:rsidRPr="0027040A" w:rsidRDefault="001565A8" w:rsidP="00612137">
      <w:pPr>
        <w:pStyle w:val="Heading1"/>
        <w:jc w:val="center"/>
        <w:rPr>
          <w:rFonts w:ascii="Arial" w:eastAsiaTheme="minorHAnsi" w:hAnsi="Arial" w:cs="Arial"/>
          <w:bCs w:val="0"/>
          <w:color w:val="305CBE"/>
          <w:kern w:val="2"/>
          <w:sz w:val="22"/>
          <w:szCs w:val="22"/>
          <w:u w:val="single"/>
          <w:lang w:val="en-US" w:eastAsia="en-US"/>
          <w14:ligatures w14:val="standardContextual"/>
        </w:rPr>
      </w:pPr>
      <w:r w:rsidRPr="0027040A">
        <w:rPr>
          <w:rFonts w:ascii="Arial" w:eastAsiaTheme="minorHAnsi" w:hAnsi="Arial" w:cs="Arial"/>
          <w:bCs w:val="0"/>
          <w:color w:val="305CBE"/>
          <w:kern w:val="2"/>
          <w:sz w:val="22"/>
          <w:szCs w:val="22"/>
          <w:u w:val="single"/>
          <w:lang w:val="en-US" w:eastAsia="en-US"/>
          <w14:ligatures w14:val="standardContextual"/>
        </w:rPr>
        <w:t>WIRE TRANSFER SERVICE SCHEDULE</w:t>
      </w:r>
      <w:bookmarkEnd w:id="12"/>
    </w:p>
    <w:p w14:paraId="79619390" w14:textId="77777777" w:rsidR="001565A8" w:rsidRPr="0027040A" w:rsidRDefault="001565A8" w:rsidP="001565A8">
      <w:pPr>
        <w:tabs>
          <w:tab w:val="left" w:pos="0"/>
        </w:tabs>
        <w:adjustRightInd w:val="0"/>
        <w:spacing w:before="240" w:after="240"/>
        <w:jc w:val="both"/>
        <w:rPr>
          <w:b/>
          <w:color w:val="305CBE"/>
          <w:kern w:val="0"/>
        </w:rPr>
      </w:pPr>
      <w:r w:rsidRPr="0027040A">
        <w:rPr>
          <w:b/>
          <w:color w:val="305CBE"/>
          <w:kern w:val="0"/>
        </w:rPr>
        <w:t>Nothing contained herein shall be construed to vary the terms of RFP 23-103 and/or the Base Contract.</w:t>
      </w:r>
    </w:p>
    <w:p w14:paraId="216324B1" w14:textId="71AA3179" w:rsidR="00612137" w:rsidRPr="0027040A" w:rsidRDefault="00612137" w:rsidP="00804B41">
      <w:pPr>
        <w:widowControl w:val="0"/>
        <w:tabs>
          <w:tab w:val="left" w:pos="0"/>
        </w:tabs>
        <w:autoSpaceDE w:val="0"/>
        <w:autoSpaceDN w:val="0"/>
        <w:adjustRightInd w:val="0"/>
        <w:spacing w:before="240" w:after="200" w:line="240" w:lineRule="auto"/>
        <w:jc w:val="both"/>
        <w:rPr>
          <w:color w:val="305CBE"/>
          <w:kern w:val="0"/>
        </w:rPr>
      </w:pPr>
      <w:r w:rsidRPr="0027040A">
        <w:rPr>
          <w:b/>
          <w:bCs/>
          <w:caps/>
          <w:color w:val="305CBE"/>
          <w:kern w:val="0"/>
        </w:rPr>
        <w:t xml:space="preserve">WIRE TRANSFER SERVICE SCHEDULE </w:t>
      </w:r>
      <w:r w:rsidRPr="0027040A">
        <w:rPr>
          <w:bCs/>
          <w:color w:val="305CBE"/>
          <w:kern w:val="0"/>
        </w:rPr>
        <w:t xml:space="preserve">The State has decided to use the Wire Transfer Services described below and Bank agrees to provide the Wire Transfer Service as stated herein.  The State and Bank agree that the </w:t>
      </w:r>
      <w:r w:rsidR="0073222E" w:rsidRPr="0027040A">
        <w:rPr>
          <w:bCs/>
          <w:color w:val="305CBE"/>
          <w:kern w:val="0"/>
        </w:rPr>
        <w:t xml:space="preserve">fully loaded </w:t>
      </w:r>
      <w:r w:rsidRPr="0027040A">
        <w:rPr>
          <w:bCs/>
          <w:color w:val="305CBE"/>
          <w:kern w:val="0"/>
        </w:rPr>
        <w:t xml:space="preserve">fees in the fee schedule, included as Attachment </w:t>
      </w:r>
      <w:r w:rsidR="00E41402" w:rsidRPr="0027040A">
        <w:rPr>
          <w:bCs/>
          <w:color w:val="305CBE"/>
          <w:kern w:val="0"/>
        </w:rPr>
        <w:t>22 to RFP 23-103</w:t>
      </w:r>
      <w:r w:rsidR="00625BB9" w:rsidRPr="0027040A">
        <w:rPr>
          <w:bCs/>
          <w:color w:val="305CBE"/>
          <w:kern w:val="0"/>
        </w:rPr>
        <w:t>,</w:t>
      </w:r>
      <w:r w:rsidR="00E41402" w:rsidRPr="0027040A">
        <w:rPr>
          <w:bCs/>
          <w:color w:val="305CBE"/>
          <w:kern w:val="0"/>
        </w:rPr>
        <w:t xml:space="preserve"> </w:t>
      </w:r>
      <w:r w:rsidRPr="0027040A">
        <w:rPr>
          <w:bCs/>
          <w:color w:val="305CBE"/>
          <w:kern w:val="0"/>
        </w:rPr>
        <w:t>and incorporated herein and made a part hereof, constitutes good and valuable consideration for the Wire Transfer Service to be provided hereunder.</w:t>
      </w:r>
      <w:r w:rsidRPr="0027040A">
        <w:rPr>
          <w:b/>
          <w:bCs/>
          <w:color w:val="305CBE"/>
          <w:kern w:val="0"/>
        </w:rPr>
        <w:t xml:space="preserve"> </w:t>
      </w:r>
      <w:r w:rsidRPr="0027040A">
        <w:rPr>
          <w:color w:val="305CBE"/>
          <w:kern w:val="0"/>
        </w:rPr>
        <w:t xml:space="preserve">The State and the Bank agree to the terms and conditions below: </w:t>
      </w:r>
    </w:p>
    <w:p w14:paraId="738358DD" w14:textId="77777777" w:rsidR="00612137" w:rsidRPr="0027040A" w:rsidRDefault="00612137" w:rsidP="00804B41">
      <w:pPr>
        <w:widowControl w:val="0"/>
        <w:numPr>
          <w:ilvl w:val="0"/>
          <w:numId w:val="8"/>
        </w:numPr>
        <w:tabs>
          <w:tab w:val="clear" w:pos="792"/>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Service</w:t>
      </w:r>
      <w:r w:rsidRPr="0027040A">
        <w:rPr>
          <w:b/>
          <w:color w:val="305CBE"/>
          <w:kern w:val="0"/>
        </w:rPr>
        <w:t>.</w:t>
      </w:r>
      <w:r w:rsidRPr="0027040A">
        <w:rPr>
          <w:color w:val="305CBE"/>
          <w:kern w:val="0"/>
        </w:rPr>
        <w:t xml:space="preserve"> </w:t>
      </w:r>
    </w:p>
    <w:p w14:paraId="10F51777" w14:textId="77777777" w:rsidR="00612137" w:rsidRPr="0027040A" w:rsidRDefault="00612137" w:rsidP="00804B41">
      <w:pPr>
        <w:widowControl w:val="0"/>
        <w:autoSpaceDE w:val="0"/>
        <w:autoSpaceDN w:val="0"/>
        <w:adjustRightInd w:val="0"/>
        <w:spacing w:before="120" w:line="240" w:lineRule="auto"/>
        <w:ind w:left="720"/>
        <w:jc w:val="both"/>
        <w:rPr>
          <w:color w:val="305CBE"/>
          <w:kern w:val="0"/>
        </w:rPr>
      </w:pPr>
      <w:r w:rsidRPr="0027040A">
        <w:rPr>
          <w:color w:val="305CBE"/>
          <w:kern w:val="0"/>
        </w:rPr>
        <w:t>The Bank provides the State with access to a Wire Transfer Service which enables the State to transfer available funds from Accounts at the Bank as stated herein. The parties agree to be legally bound by the following terms and conditions each time that the Wire Transfer Service is utilized. “Account(s)” shall mean any bank account statutorily subject to State authorization.</w:t>
      </w:r>
    </w:p>
    <w:p w14:paraId="2591E967"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b/>
          <w:color w:val="305CBE"/>
          <w:kern w:val="0"/>
        </w:rPr>
      </w:pPr>
      <w:r w:rsidRPr="0027040A">
        <w:rPr>
          <w:b/>
          <w:color w:val="305CBE"/>
          <w:kern w:val="0"/>
          <w:u w:val="single"/>
        </w:rPr>
        <w:t>Wire Transfer Authorizations</w:t>
      </w:r>
      <w:r w:rsidRPr="0027040A">
        <w:rPr>
          <w:b/>
          <w:color w:val="305CBE"/>
          <w:kern w:val="0"/>
        </w:rPr>
        <w:t>.</w:t>
      </w:r>
    </w:p>
    <w:p w14:paraId="69B3DE98" w14:textId="77777777" w:rsidR="00612137" w:rsidRPr="0027040A" w:rsidRDefault="00612137" w:rsidP="00804B41">
      <w:pPr>
        <w:spacing w:before="120" w:after="120" w:line="240" w:lineRule="auto"/>
        <w:ind w:left="720"/>
        <w:jc w:val="both"/>
        <w:rPr>
          <w:color w:val="305CBE"/>
          <w:kern w:val="0"/>
        </w:rPr>
      </w:pPr>
      <w:r w:rsidRPr="0027040A">
        <w:rPr>
          <w:color w:val="305CBE"/>
          <w:kern w:val="0"/>
        </w:rPr>
        <w:t>Notwithstanding any provision in herein to the contrary all wire transfers shall be subject to the following:</w:t>
      </w:r>
    </w:p>
    <w:p w14:paraId="346F66AE" w14:textId="437A1458" w:rsidR="00612137" w:rsidRPr="0027040A" w:rsidRDefault="00612137" w:rsidP="00804B41">
      <w:pPr>
        <w:widowControl w:val="0"/>
        <w:numPr>
          <w:ilvl w:val="0"/>
          <w:numId w:val="6"/>
        </w:numPr>
        <w:autoSpaceDE w:val="0"/>
        <w:autoSpaceDN w:val="0"/>
        <w:adjustRightInd w:val="0"/>
        <w:spacing w:before="120" w:after="120" w:line="240" w:lineRule="auto"/>
        <w:ind w:left="1080"/>
        <w:jc w:val="both"/>
        <w:rPr>
          <w:color w:val="305CBE"/>
          <w:kern w:val="0"/>
        </w:rPr>
      </w:pPr>
      <w:r w:rsidRPr="0027040A">
        <w:rPr>
          <w:color w:val="305CBE"/>
          <w:kern w:val="0"/>
        </w:rPr>
        <w:t xml:space="preserve">The authority of any designee of the State may be established by the State. Without limiting the generality of the foregoing, the State hereby authorizes each of the persons listed on </w:t>
      </w:r>
      <w:r w:rsidR="00AD0328" w:rsidRPr="0027040A">
        <w:rPr>
          <w:color w:val="305CBE"/>
          <w:kern w:val="0"/>
        </w:rPr>
        <w:t>the</w:t>
      </w:r>
      <w:r w:rsidRPr="0027040A">
        <w:rPr>
          <w:color w:val="305CBE"/>
          <w:kern w:val="0"/>
        </w:rPr>
        <w:t xml:space="preserve"> State Authorization Form (each herein called an "Authorized Representative"), and any person who may be added to the State Authorization Form by amendment thereof, to issue or authorize to be issued requests, instructions, and payment orders, including any cancellation or amendment thereof, in the name and on behalf of the State, given by written communication, for or relating to any funds transfer from or into any Account or Accounts. The Bank may rely on the authorization set forth in the prior sentence with respect to any Authorized Representative until the Bank has received a proposed amended State Authorization Form removing such person as an Authorized Representative, which shall be effective immediately upon notice. Any Amendment to the State Authorization Form may be signed by any person who executed the State Authorization Form or by any other person whose authority to do so has been established to the Bank's satisfaction. The State may hand deliver any proposed amended State Authorization Form to the Bank.</w:t>
      </w:r>
    </w:p>
    <w:p w14:paraId="30C2E58C" w14:textId="77777777" w:rsidR="00612137" w:rsidRPr="0027040A" w:rsidRDefault="00612137" w:rsidP="00804B41">
      <w:pPr>
        <w:widowControl w:val="0"/>
        <w:numPr>
          <w:ilvl w:val="0"/>
          <w:numId w:val="6"/>
        </w:numPr>
        <w:autoSpaceDE w:val="0"/>
        <w:autoSpaceDN w:val="0"/>
        <w:adjustRightInd w:val="0"/>
        <w:spacing w:before="120" w:after="120" w:line="240" w:lineRule="auto"/>
        <w:ind w:left="1080"/>
        <w:jc w:val="both"/>
        <w:rPr>
          <w:color w:val="305CBE"/>
          <w:kern w:val="0"/>
        </w:rPr>
      </w:pPr>
      <w:r w:rsidRPr="0027040A">
        <w:rPr>
          <w:color w:val="305CBE"/>
          <w:kern w:val="0"/>
        </w:rPr>
        <w:t>The State requests the Bank to transfer funds from Account(s) whether such accounts are at the Bank or another financial institution, and to any Account of a third party specified by the State, whether such third party account(s) is at the Bank or another financial institution.</w:t>
      </w:r>
    </w:p>
    <w:p w14:paraId="3FECF883" w14:textId="77777777" w:rsidR="00612137" w:rsidRPr="0027040A" w:rsidRDefault="00612137" w:rsidP="00804B41">
      <w:pPr>
        <w:widowControl w:val="0"/>
        <w:numPr>
          <w:ilvl w:val="0"/>
          <w:numId w:val="6"/>
        </w:numPr>
        <w:autoSpaceDE w:val="0"/>
        <w:autoSpaceDN w:val="0"/>
        <w:adjustRightInd w:val="0"/>
        <w:spacing w:before="120" w:after="120" w:line="240" w:lineRule="auto"/>
        <w:ind w:left="1080"/>
        <w:jc w:val="both"/>
        <w:rPr>
          <w:color w:val="305CBE"/>
          <w:kern w:val="0"/>
        </w:rPr>
      </w:pPr>
      <w:r w:rsidRPr="0027040A">
        <w:rPr>
          <w:color w:val="305CBE"/>
          <w:kern w:val="0"/>
        </w:rPr>
        <w:t>The State requests the Bank to effect funds transfers based upon pre-determined repetitive transfer instructions described in any Repetitive Transfer Schedule agreed upon by the State and the Bank and  executed in the name of the State and filed with the Bank ("Repetitive Transfers"). Such instructions cover pre-authorized transfers of a repetitive nature (those in which transfer debit and credit parties remain the same; date and dollar amount may be variable).</w:t>
      </w:r>
    </w:p>
    <w:p w14:paraId="01068C77"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b/>
          <w:color w:val="305CBE"/>
          <w:kern w:val="0"/>
        </w:rPr>
      </w:pPr>
      <w:r w:rsidRPr="0027040A">
        <w:rPr>
          <w:b/>
          <w:color w:val="305CBE"/>
          <w:kern w:val="0"/>
          <w:u w:val="single"/>
        </w:rPr>
        <w:lastRenderedPageBreak/>
        <w:t>Security Procedures</w:t>
      </w:r>
      <w:r w:rsidRPr="0027040A">
        <w:rPr>
          <w:b/>
          <w:color w:val="305CBE"/>
          <w:kern w:val="0"/>
        </w:rPr>
        <w:t>.</w:t>
      </w:r>
    </w:p>
    <w:p w14:paraId="734760A8" w14:textId="77777777" w:rsidR="00612137" w:rsidRPr="0027040A" w:rsidRDefault="00612137" w:rsidP="00804B41">
      <w:pPr>
        <w:widowControl w:val="0"/>
        <w:numPr>
          <w:ilvl w:val="0"/>
          <w:numId w:val="7"/>
        </w:numPr>
        <w:autoSpaceDE w:val="0"/>
        <w:autoSpaceDN w:val="0"/>
        <w:adjustRightInd w:val="0"/>
        <w:spacing w:before="120" w:after="120" w:line="240" w:lineRule="auto"/>
        <w:ind w:left="1080"/>
        <w:jc w:val="both"/>
        <w:rPr>
          <w:color w:val="305CBE"/>
          <w:kern w:val="0"/>
        </w:rPr>
      </w:pPr>
      <w:r w:rsidRPr="0027040A">
        <w:rPr>
          <w:color w:val="305CBE"/>
          <w:kern w:val="0"/>
        </w:rPr>
        <w:t xml:space="preserve">When a payment order issued in the name of the State is transmitted directly to the Bank, its authenticity will be verified pursuant to the security procedure chosen by the State. Where Repetitive Transfers are requested, such initial request and any proposed modification to the Repetitive Transfer Schedule will be verified in accordance with such security procedures. </w:t>
      </w:r>
    </w:p>
    <w:p w14:paraId="14540C6A" w14:textId="77777777" w:rsidR="00612137" w:rsidRPr="0027040A" w:rsidRDefault="00612137" w:rsidP="00804B41">
      <w:pPr>
        <w:widowControl w:val="0"/>
        <w:numPr>
          <w:ilvl w:val="0"/>
          <w:numId w:val="7"/>
        </w:numPr>
        <w:autoSpaceDE w:val="0"/>
        <w:autoSpaceDN w:val="0"/>
        <w:adjustRightInd w:val="0"/>
        <w:spacing w:before="120" w:after="120" w:line="240" w:lineRule="auto"/>
        <w:ind w:left="1080"/>
        <w:jc w:val="both"/>
        <w:rPr>
          <w:color w:val="305CBE"/>
          <w:kern w:val="0"/>
        </w:rPr>
      </w:pPr>
      <w:r w:rsidRPr="0027040A">
        <w:rPr>
          <w:color w:val="305CBE"/>
          <w:kern w:val="0"/>
        </w:rPr>
        <w:t>The State agrees that the security procedures chosen by the State are reasonable for the State. The State shall be bound by any payment order issued in its name and accepted by the Bank in compliance with such security procedures. To the extent that the State fails to follow the security procedure(s), the State shall be deemed to have refused such security procedure(s) in such instance.</w:t>
      </w:r>
    </w:p>
    <w:p w14:paraId="776CF56D" w14:textId="77777777" w:rsidR="00612137" w:rsidRPr="0027040A" w:rsidRDefault="00612137" w:rsidP="00804B41">
      <w:pPr>
        <w:widowControl w:val="0"/>
        <w:numPr>
          <w:ilvl w:val="0"/>
          <w:numId w:val="7"/>
        </w:numPr>
        <w:autoSpaceDE w:val="0"/>
        <w:autoSpaceDN w:val="0"/>
        <w:adjustRightInd w:val="0"/>
        <w:spacing w:before="120" w:after="120" w:line="240" w:lineRule="auto"/>
        <w:ind w:left="1080"/>
        <w:jc w:val="both"/>
        <w:rPr>
          <w:color w:val="305CBE"/>
          <w:kern w:val="0"/>
        </w:rPr>
      </w:pPr>
      <w:r w:rsidRPr="0027040A">
        <w:rPr>
          <w:color w:val="305CBE"/>
          <w:kern w:val="0"/>
        </w:rPr>
        <w:t>The Bank must assign a unique ID and Password or a unique Personal Identification Number (PIN) for each of the State's Administrators. The State shall be responsible for transmitting the unique identifier to the appropriate Administrator and for assuring that it is not made known to any person other than the Administrator by whom it is intended to be used. The State shall maintain the unique identifiers in strictest confidence and take security measures sufficient to assure that they are not used to facilitate unauthorized transactions.</w:t>
      </w:r>
    </w:p>
    <w:p w14:paraId="2A105C45" w14:textId="563123A2" w:rsidR="00612137" w:rsidRPr="0027040A" w:rsidRDefault="00612137" w:rsidP="00804B41">
      <w:pPr>
        <w:widowControl w:val="0"/>
        <w:numPr>
          <w:ilvl w:val="0"/>
          <w:numId w:val="7"/>
        </w:numPr>
        <w:autoSpaceDE w:val="0"/>
        <w:autoSpaceDN w:val="0"/>
        <w:adjustRightInd w:val="0"/>
        <w:spacing w:before="120" w:after="120" w:line="240" w:lineRule="auto"/>
        <w:ind w:left="1080"/>
        <w:jc w:val="both"/>
        <w:rPr>
          <w:color w:val="305CBE"/>
          <w:kern w:val="0"/>
        </w:rPr>
      </w:pPr>
      <w:r w:rsidRPr="0027040A">
        <w:rPr>
          <w:color w:val="305CBE"/>
          <w:kern w:val="0"/>
        </w:rPr>
        <w:t xml:space="preserve">State Administrators will be designated </w:t>
      </w:r>
      <w:r w:rsidR="0096407B" w:rsidRPr="0027040A">
        <w:rPr>
          <w:color w:val="305CBE"/>
          <w:kern w:val="0"/>
        </w:rPr>
        <w:t>by the State</w:t>
      </w:r>
      <w:r w:rsidRPr="0027040A">
        <w:rPr>
          <w:color w:val="305CBE"/>
          <w:kern w:val="0"/>
        </w:rPr>
        <w:t>.</w:t>
      </w:r>
    </w:p>
    <w:p w14:paraId="50B09EB4" w14:textId="77777777" w:rsidR="00612137" w:rsidRPr="0027040A" w:rsidRDefault="00612137" w:rsidP="00804B41">
      <w:pPr>
        <w:widowControl w:val="0"/>
        <w:numPr>
          <w:ilvl w:val="0"/>
          <w:numId w:val="7"/>
        </w:numPr>
        <w:autoSpaceDE w:val="0"/>
        <w:autoSpaceDN w:val="0"/>
        <w:adjustRightInd w:val="0"/>
        <w:spacing w:before="120" w:after="120" w:line="240" w:lineRule="auto"/>
        <w:ind w:left="1080"/>
        <w:jc w:val="both"/>
        <w:rPr>
          <w:color w:val="305CBE"/>
          <w:kern w:val="0"/>
        </w:rPr>
      </w:pPr>
      <w:r w:rsidRPr="0027040A">
        <w:rPr>
          <w:color w:val="305CBE"/>
          <w:kern w:val="0"/>
        </w:rPr>
        <w:t>If applicable, the Bank may assign to each Authorized User an identification number ("User ID"), a temporary Password, and require user to register a digital certificate which will enable the State to initiate payment orders by personal computer through the Internet. The State shall change the initial assigned Password immediately. Each user shall maintain his/her own unique User ID and Password. The State shall exercise reasonable care in determining when changes in the Password shall be made. If applicable, the State shall be responsible for terminating an Authorized User's access. The State has the option to require another authorized individual to approve or cancel a transfer request before it is released.</w:t>
      </w:r>
    </w:p>
    <w:p w14:paraId="22C53EDA" w14:textId="77777777" w:rsidR="00612137" w:rsidRPr="0027040A" w:rsidRDefault="00612137" w:rsidP="00804B41">
      <w:pPr>
        <w:widowControl w:val="0"/>
        <w:numPr>
          <w:ilvl w:val="0"/>
          <w:numId w:val="7"/>
        </w:numPr>
        <w:autoSpaceDE w:val="0"/>
        <w:autoSpaceDN w:val="0"/>
        <w:adjustRightInd w:val="0"/>
        <w:spacing w:before="120" w:after="120" w:line="240" w:lineRule="auto"/>
        <w:ind w:left="1080"/>
        <w:jc w:val="both"/>
        <w:rPr>
          <w:color w:val="305CBE"/>
          <w:kern w:val="0"/>
        </w:rPr>
      </w:pPr>
      <w:r w:rsidRPr="0027040A">
        <w:rPr>
          <w:color w:val="305CBE"/>
          <w:kern w:val="0"/>
        </w:rPr>
        <w:t>With the State’s consent, which shall not be unreasonably withheld, the Bank may require the use of a user authentication device for each of the State's Administrators as designated in the State Authorization Form. The State shall be responsible for transmitting the user authentication device to the appropriate Administrators. The State shall maintain the user authentication device in strictest confidence and take security measures sufficient to assure that it is not used to facilitate unauthorized transactions.</w:t>
      </w:r>
    </w:p>
    <w:p w14:paraId="0408F469"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b/>
          <w:color w:val="305CBE"/>
          <w:kern w:val="0"/>
        </w:rPr>
      </w:pPr>
      <w:r w:rsidRPr="0027040A">
        <w:rPr>
          <w:b/>
          <w:color w:val="305CBE"/>
          <w:kern w:val="0"/>
          <w:u w:val="single"/>
        </w:rPr>
        <w:t>Inconsistencies Between Names and Numbers</w:t>
      </w:r>
      <w:r w:rsidRPr="0027040A">
        <w:rPr>
          <w:b/>
          <w:color w:val="305CBE"/>
          <w:kern w:val="0"/>
        </w:rPr>
        <w:t>.</w:t>
      </w:r>
    </w:p>
    <w:p w14:paraId="669510FF" w14:textId="77777777" w:rsidR="00612137" w:rsidRPr="0027040A" w:rsidRDefault="00612137" w:rsidP="00804B41">
      <w:pPr>
        <w:spacing w:before="120" w:line="240" w:lineRule="auto"/>
        <w:ind w:left="720"/>
        <w:jc w:val="both"/>
        <w:rPr>
          <w:color w:val="305CBE"/>
          <w:kern w:val="0"/>
        </w:rPr>
      </w:pPr>
      <w:r w:rsidRPr="0027040A">
        <w:rPr>
          <w:color w:val="305CBE"/>
          <w:kern w:val="0"/>
        </w:rPr>
        <w:t xml:space="preserve">If an identifying or bank account number provided in a payment order issued in the name of the State identifies a person different from the beneficiary named in the payment order, or if the words and numbers set forth in a payment order are otherwise inconsistent, the State understands that execution or payment of the payment order might be made by the Bank, another beneficiary's bank, or any other person on the basis of identifying number, or bank account number, rather than on the basis of the name or words. If a payment order identifies an intermediary bank or the beneficiary's bank both by name and an identifying number and the name and number identify different persons, the State understands that the Bank, another receiving bank, or any other person might rely on the number as the proper identification of the intermediary or beneficiary's bank even if it identifies a person different from the Bank identified by name. The Bank shall not, for any purpose, be deemed to know that an account identifying number in a payment order does not identify or match </w:t>
      </w:r>
      <w:r w:rsidRPr="0027040A">
        <w:rPr>
          <w:color w:val="305CBE"/>
          <w:kern w:val="0"/>
        </w:rPr>
        <w:lastRenderedPageBreak/>
        <w:t xml:space="preserve">the person or words intended to be identified or otherwise set forth therein unless the officer or employee of the Bank who receives or accepts the payment order has actual knowledge and awareness of the contents of the payment order and the fact that a discrepancy exists. </w:t>
      </w:r>
    </w:p>
    <w:p w14:paraId="7FB9F0F5"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Execution, Rejection and Payment of Payment Orders</w:t>
      </w:r>
      <w:r w:rsidRPr="0027040A">
        <w:rPr>
          <w:b/>
          <w:color w:val="305CBE"/>
          <w:kern w:val="0"/>
        </w:rPr>
        <w:t>.</w:t>
      </w:r>
      <w:r w:rsidRPr="0027040A">
        <w:rPr>
          <w:color w:val="305CBE"/>
          <w:kern w:val="0"/>
        </w:rPr>
        <w:t xml:space="preserve"> </w:t>
      </w:r>
    </w:p>
    <w:p w14:paraId="1B5DDD8B" w14:textId="2F5969C0" w:rsidR="00612137" w:rsidRPr="0027040A" w:rsidRDefault="00612137" w:rsidP="00804B41">
      <w:pPr>
        <w:spacing w:before="120" w:line="240" w:lineRule="auto"/>
        <w:ind w:left="720"/>
        <w:jc w:val="both"/>
        <w:rPr>
          <w:color w:val="305CBE"/>
          <w:kern w:val="0"/>
        </w:rPr>
      </w:pPr>
      <w:r w:rsidRPr="0027040A">
        <w:rPr>
          <w:color w:val="305CBE"/>
          <w:kern w:val="0"/>
        </w:rPr>
        <w:t xml:space="preserve">The payment order may be rejected by operation of law. If a payment order is rejected, the Bank shall notify the State via telephone immediately, such telephone contact to be followed up in writing, preferably by email. The notice shall be effective when given. </w:t>
      </w:r>
    </w:p>
    <w:p w14:paraId="7B08DEC1"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Execution Date</w:t>
      </w:r>
      <w:r w:rsidRPr="0027040A">
        <w:rPr>
          <w:b/>
          <w:color w:val="305CBE"/>
          <w:kern w:val="0"/>
        </w:rPr>
        <w:t>.</w:t>
      </w:r>
      <w:r w:rsidRPr="0027040A">
        <w:rPr>
          <w:color w:val="305CBE"/>
          <w:kern w:val="0"/>
        </w:rPr>
        <w:t xml:space="preserve"> </w:t>
      </w:r>
    </w:p>
    <w:p w14:paraId="1E569A56" w14:textId="77777777" w:rsidR="00612137" w:rsidRPr="0027040A" w:rsidRDefault="00612137" w:rsidP="00804B41">
      <w:pPr>
        <w:spacing w:before="120" w:line="240" w:lineRule="auto"/>
        <w:ind w:left="720"/>
        <w:jc w:val="both"/>
        <w:rPr>
          <w:color w:val="305CBE"/>
          <w:kern w:val="0"/>
        </w:rPr>
      </w:pPr>
      <w:r w:rsidRPr="0027040A">
        <w:rPr>
          <w:color w:val="305CBE"/>
          <w:kern w:val="0"/>
        </w:rPr>
        <w:t xml:space="preserve">The State shall not issue a payment order instructing execution or payment on a Banking Day later than the day the wire transfer is received by the Bank unless the Bank agrees to accept such wire transfer. </w:t>
      </w:r>
    </w:p>
    <w:p w14:paraId="7B6B9168" w14:textId="21543AA3" w:rsidR="00612137" w:rsidRPr="0027040A" w:rsidRDefault="00612137" w:rsidP="00804B41">
      <w:pPr>
        <w:spacing w:before="120" w:line="240" w:lineRule="auto"/>
        <w:ind w:left="720"/>
        <w:jc w:val="both"/>
        <w:rPr>
          <w:color w:val="305CBE"/>
          <w:kern w:val="0"/>
        </w:rPr>
      </w:pPr>
      <w:r w:rsidRPr="0027040A">
        <w:rPr>
          <w:color w:val="305CBE"/>
          <w:kern w:val="0"/>
        </w:rPr>
        <w:t>A “Banking Day" shall mean any day on which the ACH and the main office of the Bank are both open for business, but shall not include any Saturday, Sunday, or holiday.</w:t>
      </w:r>
    </w:p>
    <w:p w14:paraId="68B63D83"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Cut-Off Hours</w:t>
      </w:r>
      <w:r w:rsidRPr="0027040A">
        <w:rPr>
          <w:b/>
          <w:color w:val="305CBE"/>
          <w:kern w:val="0"/>
        </w:rPr>
        <w:t>.</w:t>
      </w:r>
      <w:r w:rsidRPr="0027040A">
        <w:rPr>
          <w:color w:val="305CBE"/>
          <w:kern w:val="0"/>
        </w:rPr>
        <w:t xml:space="preserve"> </w:t>
      </w:r>
    </w:p>
    <w:p w14:paraId="3262B8CF" w14:textId="77777777" w:rsidR="00612137" w:rsidRPr="0027040A" w:rsidRDefault="00612137" w:rsidP="00804B41">
      <w:pPr>
        <w:spacing w:before="120" w:line="240" w:lineRule="auto"/>
        <w:ind w:left="720"/>
        <w:jc w:val="both"/>
        <w:rPr>
          <w:color w:val="305CBE"/>
          <w:kern w:val="0"/>
        </w:rPr>
      </w:pPr>
      <w:r w:rsidRPr="0027040A">
        <w:rPr>
          <w:color w:val="305CBE"/>
          <w:kern w:val="0"/>
        </w:rPr>
        <w:t xml:space="preserve">Format requirements and cut-off hours for wire transfers and payment orders may be established by the parties. Payment orders received after such cut-off hours may be treated by the Bank for all purposes as having been received on the following Banking Day. </w:t>
      </w:r>
    </w:p>
    <w:p w14:paraId="1058BE76"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proofErr w:type="spellStart"/>
      <w:r w:rsidRPr="0027040A">
        <w:rPr>
          <w:b/>
          <w:color w:val="305CBE"/>
          <w:kern w:val="0"/>
          <w:u w:val="single"/>
        </w:rPr>
        <w:t>Provisionality</w:t>
      </w:r>
      <w:proofErr w:type="spellEnd"/>
      <w:r w:rsidRPr="0027040A">
        <w:rPr>
          <w:b/>
          <w:color w:val="305CBE"/>
          <w:kern w:val="0"/>
          <w:u w:val="single"/>
        </w:rPr>
        <w:t xml:space="preserve"> of Credits</w:t>
      </w:r>
      <w:r w:rsidRPr="0027040A">
        <w:rPr>
          <w:b/>
          <w:color w:val="305CBE"/>
          <w:kern w:val="0"/>
        </w:rPr>
        <w:t>.</w:t>
      </w:r>
      <w:r w:rsidRPr="0027040A">
        <w:rPr>
          <w:color w:val="305CBE"/>
          <w:kern w:val="0"/>
        </w:rPr>
        <w:t xml:space="preserve"> </w:t>
      </w:r>
    </w:p>
    <w:p w14:paraId="378F5F81" w14:textId="77777777" w:rsidR="00612137" w:rsidRPr="0027040A" w:rsidRDefault="00612137" w:rsidP="00804B41">
      <w:pPr>
        <w:spacing w:before="120" w:line="240" w:lineRule="auto"/>
        <w:ind w:left="720"/>
        <w:jc w:val="both"/>
        <w:rPr>
          <w:color w:val="305CBE"/>
          <w:kern w:val="0"/>
        </w:rPr>
      </w:pPr>
      <w:r w:rsidRPr="0027040A">
        <w:rPr>
          <w:color w:val="305CBE"/>
          <w:kern w:val="0"/>
        </w:rPr>
        <w:t xml:space="preserve">While an Account may be credited in the amount of an incoming payment order, such crediting shall be subject to receipt of final settlement by the Bank and any cancellation effected or agreed to by the parties. Nothing in this section shall limit any rights the State may have relating to overdraft protection. </w:t>
      </w:r>
    </w:p>
    <w:p w14:paraId="124F98E7"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Cancellation and Amendment</w:t>
      </w:r>
      <w:r w:rsidRPr="0027040A">
        <w:rPr>
          <w:b/>
          <w:color w:val="305CBE"/>
          <w:kern w:val="0"/>
        </w:rPr>
        <w:t>.</w:t>
      </w:r>
      <w:r w:rsidRPr="0027040A">
        <w:rPr>
          <w:color w:val="305CBE"/>
          <w:kern w:val="0"/>
        </w:rPr>
        <w:t xml:space="preserve"> </w:t>
      </w:r>
    </w:p>
    <w:p w14:paraId="12A9A2DF" w14:textId="77777777" w:rsidR="00612137" w:rsidRPr="0027040A" w:rsidRDefault="00612137" w:rsidP="00804B41">
      <w:pPr>
        <w:spacing w:before="120" w:line="240" w:lineRule="auto"/>
        <w:ind w:left="720"/>
        <w:jc w:val="both"/>
        <w:rPr>
          <w:color w:val="305CBE"/>
          <w:kern w:val="0"/>
        </w:rPr>
      </w:pPr>
      <w:r w:rsidRPr="0027040A">
        <w:rPr>
          <w:color w:val="305CBE"/>
          <w:kern w:val="0"/>
        </w:rPr>
        <w:t xml:space="preserve">Any request to cancel or amend a payment order must be received by the Bank, on or before the Banking Day on which the payment order is to be executed. </w:t>
      </w:r>
    </w:p>
    <w:p w14:paraId="10DA0D65"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Report of Discrepancies in Payment Orders</w:t>
      </w:r>
      <w:r w:rsidRPr="0027040A">
        <w:rPr>
          <w:b/>
          <w:color w:val="305CBE"/>
          <w:kern w:val="0"/>
        </w:rPr>
        <w:t>.</w:t>
      </w:r>
      <w:r w:rsidRPr="0027040A">
        <w:rPr>
          <w:color w:val="305CBE"/>
          <w:kern w:val="0"/>
        </w:rPr>
        <w:t xml:space="preserve"> </w:t>
      </w:r>
    </w:p>
    <w:p w14:paraId="1840A101" w14:textId="77777777" w:rsidR="00612137" w:rsidRPr="0027040A" w:rsidRDefault="00612137" w:rsidP="00804B41">
      <w:pPr>
        <w:spacing w:before="120" w:line="240" w:lineRule="auto"/>
        <w:ind w:left="720"/>
        <w:jc w:val="both"/>
        <w:rPr>
          <w:color w:val="305CBE"/>
          <w:kern w:val="0"/>
        </w:rPr>
      </w:pPr>
      <w:r w:rsidRPr="0027040A">
        <w:rPr>
          <w:color w:val="305CBE"/>
          <w:kern w:val="0"/>
        </w:rPr>
        <w:t xml:space="preserve">Within ninety (90) days after the date the State receives notification from the Bank, whether by advice, confirmation, statement or otherwise, or the Bank makes such notification available to the State, whether by computer link or otherwise, that a payment order in the name of the State was accepted by the Bank or Account was debited or credited with respect to a payment order, or within ninety (90) days of any earlier date upon which the State has notice from another source of execution, payment, non-execution, or non-payment by the Bank or any other party of any payment order issued in the name of or paid to the Account, the State must notify the Bank of the relevant facts regarding any unauthorized or erroneous payment order, any discrepancy reflected in such notification or notice, and any right of a refund. </w:t>
      </w:r>
    </w:p>
    <w:p w14:paraId="026D5784" w14:textId="77777777" w:rsidR="00612137" w:rsidRPr="0027040A" w:rsidRDefault="00612137" w:rsidP="00804B41">
      <w:pPr>
        <w:widowControl w:val="0"/>
        <w:numPr>
          <w:ilvl w:val="0"/>
          <w:numId w:val="8"/>
        </w:numPr>
        <w:tabs>
          <w:tab w:val="num" w:pos="720"/>
        </w:tabs>
        <w:autoSpaceDE w:val="0"/>
        <w:autoSpaceDN w:val="0"/>
        <w:adjustRightInd w:val="0"/>
        <w:spacing w:before="200" w:after="120" w:line="240" w:lineRule="auto"/>
        <w:ind w:left="720" w:hanging="360"/>
        <w:jc w:val="both"/>
        <w:rPr>
          <w:color w:val="305CBE"/>
          <w:kern w:val="0"/>
        </w:rPr>
      </w:pPr>
      <w:r w:rsidRPr="0027040A">
        <w:rPr>
          <w:b/>
          <w:color w:val="305CBE"/>
          <w:kern w:val="0"/>
          <w:u w:val="single"/>
        </w:rPr>
        <w:t>Recording</w:t>
      </w:r>
      <w:r w:rsidRPr="0027040A">
        <w:rPr>
          <w:b/>
          <w:color w:val="305CBE"/>
          <w:kern w:val="0"/>
        </w:rPr>
        <w:t>.</w:t>
      </w:r>
      <w:r w:rsidRPr="0027040A">
        <w:rPr>
          <w:color w:val="305CBE"/>
          <w:kern w:val="0"/>
        </w:rPr>
        <w:t xml:space="preserve"> </w:t>
      </w:r>
    </w:p>
    <w:p w14:paraId="6DD796DC" w14:textId="308C9753" w:rsidR="00303C1A" w:rsidRPr="0027040A" w:rsidRDefault="00612137" w:rsidP="000B7BF8">
      <w:pPr>
        <w:spacing w:before="120" w:line="240" w:lineRule="auto"/>
        <w:ind w:left="720"/>
        <w:jc w:val="both"/>
        <w:rPr>
          <w:color w:val="305CBE"/>
          <w:kern w:val="0"/>
        </w:rPr>
      </w:pPr>
      <w:r w:rsidRPr="0027040A">
        <w:rPr>
          <w:color w:val="305CBE"/>
          <w:kern w:val="0"/>
        </w:rPr>
        <w:t>The Bank may, but shall not be obligated to, tape or otherwise record telephone conversations between the Bank and the State.  The Bank shall notify the State prior to the destruction of any such recordings.</w:t>
      </w:r>
    </w:p>
    <w:sectPr w:rsidR="00303C1A" w:rsidRPr="0027040A" w:rsidSect="00804B41">
      <w:pgSz w:w="12240" w:h="15840" w:code="1"/>
      <w:pgMar w:top="1440" w:right="1354" w:bottom="994" w:left="1440" w:header="432" w:footer="720"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5F84" w14:textId="77777777" w:rsidR="00191914" w:rsidRDefault="00191914" w:rsidP="00191914">
      <w:pPr>
        <w:spacing w:after="0" w:line="240" w:lineRule="auto"/>
      </w:pPr>
      <w:r>
        <w:separator/>
      </w:r>
    </w:p>
  </w:endnote>
  <w:endnote w:type="continuationSeparator" w:id="0">
    <w:p w14:paraId="0527DEDE" w14:textId="77777777" w:rsidR="00191914" w:rsidRDefault="00191914" w:rsidP="0019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268C142A" w14:textId="77777777" w:rsidR="00713D72" w:rsidRDefault="00713D72" w:rsidP="008F712A">
        <w:pPr>
          <w:spacing w:before="200"/>
          <w:ind w:left="-630" w:hanging="90"/>
          <w:jc w:val="right"/>
        </w:pPr>
      </w:p>
      <w:tbl>
        <w:tblPr>
          <w:tblStyle w:val="TableGrid"/>
          <w:tblW w:w="10620" w:type="dxa"/>
          <w:tblInd w:w="-545" w:type="dxa"/>
          <w:tblLook w:val="04A0" w:firstRow="1" w:lastRow="0" w:firstColumn="1" w:lastColumn="0" w:noHBand="0" w:noVBand="1"/>
        </w:tblPr>
        <w:tblGrid>
          <w:gridCol w:w="10620"/>
        </w:tblGrid>
        <w:tr w:rsidR="00713D72" w14:paraId="5E5D6E23" w14:textId="77777777" w:rsidTr="002074F8">
          <w:tc>
            <w:tcPr>
              <w:tcW w:w="1062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66EE486D" w14:textId="77777777" w:rsidR="00713D72" w:rsidRPr="00E24A82" w:rsidRDefault="00713D72" w:rsidP="00713D7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369CE1C0" w14:textId="3E3523C3" w:rsidR="00713D72" w:rsidRDefault="0027040A" w:rsidP="00713D72"/>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29286"/>
      <w:docPartObj>
        <w:docPartGallery w:val="Page Numbers (Top of Page)"/>
        <w:docPartUnique/>
      </w:docPartObj>
    </w:sdtPr>
    <w:sdtEndPr/>
    <w:sdtContent>
      <w:sdt>
        <w:sdtPr>
          <w:id w:val="574785441"/>
          <w:docPartObj>
            <w:docPartGallery w:val="Page Numbers (Top of Page)"/>
            <w:docPartUnique/>
          </w:docPartObj>
        </w:sdtPr>
        <w:sdtEndPr/>
        <w:sdtContent>
          <w:p w14:paraId="6CFE4B70" w14:textId="0C65684D" w:rsidR="000370DF" w:rsidRDefault="00A609B7" w:rsidP="000370DF">
            <w:pPr>
              <w:spacing w:after="0" w:line="276" w:lineRule="auto"/>
              <w:jc w:val="right"/>
            </w:pPr>
            <w:r>
              <w:t>Round One Questions and Answers</w:t>
            </w:r>
          </w:p>
          <w:p w14:paraId="5EF1F2DB" w14:textId="735B1F8E" w:rsidR="00713D72" w:rsidRDefault="000370DF" w:rsidP="00A609B7">
            <w:pPr>
              <w:pStyle w:val="Footer"/>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sdt>
              <w:sdtPr>
                <w:id w:val="-1407291584"/>
                <w:docPartObj>
                  <w:docPartGallery w:val="Page Numbers (Bottom of Page)"/>
                  <w:docPartUnique/>
                </w:docPartObj>
              </w:sdtPr>
              <w:sdtEndPr>
                <w:rPr>
                  <w:noProof/>
                </w:rPr>
              </w:sdtEndPr>
              <w:sdtContent>
                <w:r w:rsidR="00A609B7">
                  <w:fldChar w:fldCharType="begin"/>
                </w:r>
                <w:r w:rsidR="00A609B7">
                  <w:instrText xml:space="preserve"> PAGE   \* MERGEFORMAT </w:instrText>
                </w:r>
                <w:r w:rsidR="00A609B7">
                  <w:fldChar w:fldCharType="separate"/>
                </w:r>
                <w:r w:rsidR="00A609B7">
                  <w:t>2</w:t>
                </w:r>
                <w:r w:rsidR="00A609B7">
                  <w:rPr>
                    <w:noProof/>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685035"/>
      <w:docPartObj>
        <w:docPartGallery w:val="Page Numbers (Top of Page)"/>
        <w:docPartUnique/>
      </w:docPartObj>
    </w:sdtPr>
    <w:sdtEndPr/>
    <w:sdtContent>
      <w:sdt>
        <w:sdtPr>
          <w:id w:val="-1952083250"/>
          <w:docPartObj>
            <w:docPartGallery w:val="Page Numbers (Top of Page)"/>
            <w:docPartUnique/>
          </w:docPartObj>
        </w:sdtPr>
        <w:sdtEndPr/>
        <w:sdtContent>
          <w:p w14:paraId="2D074A19" w14:textId="77777777" w:rsidR="00A609B7" w:rsidRDefault="00A609B7" w:rsidP="000370DF">
            <w:pPr>
              <w:spacing w:after="0" w:line="276" w:lineRule="auto"/>
              <w:jc w:val="right"/>
            </w:pPr>
            <w:r>
              <w:t>AMENDMENT #1</w:t>
            </w:r>
          </w:p>
          <w:p w14:paraId="0BB261C0" w14:textId="1EAFE1EC" w:rsidR="00A609B7" w:rsidRDefault="00A609B7" w:rsidP="00087A2C">
            <w:pPr>
              <w:spacing w:after="0" w:line="276" w:lineRule="auto"/>
              <w:jc w:val="right"/>
            </w:pPr>
            <w:r w:rsidRPr="00CE68A0">
              <w:rPr>
                <w:color w:val="A6A6A6" w:themeColor="background1" w:themeShade="A6"/>
              </w:rPr>
              <w:t xml:space="preserve">RFP </w:t>
            </w:r>
            <w:r>
              <w:rPr>
                <w:color w:val="A6A6A6" w:themeColor="background1" w:themeShade="A6"/>
              </w:rPr>
              <w:t xml:space="preserve">23-103 Check 21 Services </w:t>
            </w:r>
            <w:r w:rsidRPr="00CE68A0">
              <w:rPr>
                <w:color w:val="A6A6A6" w:themeColor="background1" w:themeShade="A6"/>
              </w:rPr>
              <w:t xml:space="preserve">| </w:t>
            </w:r>
            <w:r w:rsidRPr="00CE68A0">
              <w:t>Page</w:t>
            </w:r>
            <w:r w:rsidRPr="009A2C7D">
              <w:t xml:space="preserve"> </w:t>
            </w:r>
            <w:r>
              <w:rPr>
                <w:b/>
                <w:bCs/>
                <w:sz w:val="24"/>
                <w:szCs w:val="24"/>
              </w:rPr>
              <w:t>56</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17435"/>
      <w:docPartObj>
        <w:docPartGallery w:val="Page Numbers (Top of Page)"/>
        <w:docPartUnique/>
      </w:docPartObj>
    </w:sdtPr>
    <w:sdtEndPr/>
    <w:sdtContent>
      <w:sdt>
        <w:sdtPr>
          <w:id w:val="-1382629980"/>
          <w:docPartObj>
            <w:docPartGallery w:val="Page Numbers (Top of Page)"/>
            <w:docPartUnique/>
          </w:docPartObj>
        </w:sdtPr>
        <w:sdtEndPr/>
        <w:sdtContent>
          <w:p w14:paraId="5771F8F1" w14:textId="5A1A9FB3" w:rsidR="003920B3" w:rsidRDefault="003920B3" w:rsidP="000370DF">
            <w:pPr>
              <w:spacing w:after="0" w:line="276" w:lineRule="auto"/>
              <w:jc w:val="right"/>
            </w:pPr>
            <w:r>
              <w:t>AMENDMENT #1</w:t>
            </w:r>
          </w:p>
          <w:p w14:paraId="4A682A24" w14:textId="63D26196" w:rsidR="003920B3" w:rsidRDefault="003920B3" w:rsidP="003920B3">
            <w:pPr>
              <w:pStyle w:val="Footer"/>
              <w:jc w:val="right"/>
            </w:pPr>
            <w:r w:rsidRPr="000A0C7B">
              <w:rPr>
                <w:color w:val="808080" w:themeColor="background1" w:themeShade="80"/>
              </w:rPr>
              <w:t xml:space="preserve">RFP </w:t>
            </w:r>
            <w:r>
              <w:rPr>
                <w:color w:val="808080" w:themeColor="background1" w:themeShade="80"/>
              </w:rPr>
              <w:t>23-103</w:t>
            </w:r>
            <w:r w:rsidRPr="000A0C7B">
              <w:rPr>
                <w:color w:val="808080" w:themeColor="background1" w:themeShade="80"/>
              </w:rPr>
              <w:t xml:space="preserve"> </w:t>
            </w:r>
            <w:r>
              <w:rPr>
                <w:color w:val="808080" w:themeColor="background1" w:themeShade="80"/>
              </w:rPr>
              <w:t>Exhibits</w:t>
            </w:r>
            <w:r w:rsidRPr="000A0C7B">
              <w:rPr>
                <w:color w:val="808080" w:themeColor="background1" w:themeShade="80"/>
              </w:rPr>
              <w:t xml:space="preserve"> | </w:t>
            </w:r>
            <w:r w:rsidRPr="00975BB3">
              <w:t xml:space="preserve">Page </w:t>
            </w:r>
            <w:sdt>
              <w:sdtPr>
                <w:rPr>
                  <w:b/>
                  <w:bCs/>
                </w:rPr>
                <w:id w:val="-1045595610"/>
                <w:docPartObj>
                  <w:docPartGallery w:val="Page Numbers (Bottom of Page)"/>
                  <w:docPartUnique/>
                </w:docPartObj>
              </w:sdtPr>
              <w:sdtEndPr>
                <w:rPr>
                  <w:noProof/>
                </w:rPr>
              </w:sdtEndPr>
              <w:sdtContent>
                <w:r w:rsidR="008B3CB9">
                  <w:rPr>
                    <w:b/>
                    <w:bCs/>
                  </w:rPr>
                  <w:t>7</w:t>
                </w:r>
              </w:sdtContent>
            </w:sdt>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11490"/>
      <w:docPartObj>
        <w:docPartGallery w:val="Page Numbers (Top of Page)"/>
        <w:docPartUnique/>
      </w:docPartObj>
    </w:sdtPr>
    <w:sdtEndPr/>
    <w:sdtContent>
      <w:sdt>
        <w:sdtPr>
          <w:id w:val="778843208"/>
          <w:docPartObj>
            <w:docPartGallery w:val="Page Numbers (Top of Page)"/>
            <w:docPartUnique/>
          </w:docPartObj>
        </w:sdtPr>
        <w:sdtEndPr/>
        <w:sdtContent>
          <w:p w14:paraId="2B3FEE30" w14:textId="77777777" w:rsidR="000B7BF8" w:rsidRDefault="000B7BF8" w:rsidP="000370DF">
            <w:pPr>
              <w:spacing w:after="0" w:line="276" w:lineRule="auto"/>
              <w:jc w:val="right"/>
            </w:pPr>
            <w:r>
              <w:t>AMENDMENT #1</w:t>
            </w:r>
          </w:p>
          <w:p w14:paraId="4EA177C3" w14:textId="77777777" w:rsidR="000B7BF8" w:rsidRDefault="000B7BF8" w:rsidP="003920B3">
            <w:pPr>
              <w:pStyle w:val="Footer"/>
              <w:jc w:val="right"/>
            </w:pPr>
            <w:r w:rsidRPr="000A0C7B">
              <w:rPr>
                <w:color w:val="808080" w:themeColor="background1" w:themeShade="80"/>
              </w:rPr>
              <w:t xml:space="preserve">RFP </w:t>
            </w:r>
            <w:r>
              <w:rPr>
                <w:color w:val="808080" w:themeColor="background1" w:themeShade="80"/>
              </w:rPr>
              <w:t>23-103</w:t>
            </w:r>
            <w:r w:rsidRPr="000A0C7B">
              <w:rPr>
                <w:color w:val="808080" w:themeColor="background1" w:themeShade="80"/>
              </w:rPr>
              <w:t xml:space="preserve"> </w:t>
            </w:r>
            <w:r>
              <w:rPr>
                <w:color w:val="808080" w:themeColor="background1" w:themeShade="80"/>
              </w:rPr>
              <w:t>Exhibits</w:t>
            </w:r>
            <w:r w:rsidRPr="000A0C7B">
              <w:rPr>
                <w:color w:val="808080" w:themeColor="background1" w:themeShade="80"/>
              </w:rPr>
              <w:t xml:space="preserve"> | </w:t>
            </w:r>
            <w:r w:rsidRPr="00975BB3">
              <w:t xml:space="preserve">Page </w:t>
            </w:r>
            <w:sdt>
              <w:sdtPr>
                <w:rPr>
                  <w:b/>
                  <w:bCs/>
                </w:rPr>
                <w:id w:val="-291521679"/>
                <w:docPartObj>
                  <w:docPartGallery w:val="Page Numbers (Bottom of Page)"/>
                  <w:docPartUnique/>
                </w:docPartObj>
              </w:sdtPr>
              <w:sdtEndPr>
                <w:rPr>
                  <w:noProof/>
                </w:rPr>
              </w:sdtEndPr>
              <w:sdtContent>
                <w:r w:rsidRPr="00C322F4">
                  <w:rPr>
                    <w:b/>
                    <w:bCs/>
                  </w:rPr>
                  <w:fldChar w:fldCharType="begin"/>
                </w:r>
                <w:r w:rsidRPr="00C322F4">
                  <w:rPr>
                    <w:b/>
                    <w:bCs/>
                  </w:rPr>
                  <w:instrText xml:space="preserve"> PAGE   \* MERGEFORMAT </w:instrText>
                </w:r>
                <w:r w:rsidRPr="00C322F4">
                  <w:rPr>
                    <w:b/>
                    <w:bCs/>
                  </w:rPr>
                  <w:fldChar w:fldCharType="separate"/>
                </w:r>
                <w:r>
                  <w:rPr>
                    <w:b/>
                    <w:bCs/>
                  </w:rPr>
                  <w:t>7</w:t>
                </w:r>
                <w:r w:rsidRPr="00C322F4">
                  <w:rPr>
                    <w:b/>
                    <w:bCs/>
                    <w:noProof/>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D08B" w14:textId="77777777" w:rsidR="00191914" w:rsidRDefault="00191914" w:rsidP="00191914">
      <w:pPr>
        <w:spacing w:after="0" w:line="240" w:lineRule="auto"/>
      </w:pPr>
      <w:r>
        <w:separator/>
      </w:r>
    </w:p>
  </w:footnote>
  <w:footnote w:type="continuationSeparator" w:id="0">
    <w:p w14:paraId="18888FD1" w14:textId="77777777" w:rsidR="00191914" w:rsidRDefault="00191914" w:rsidP="0019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6B7F" w14:textId="6047BC41" w:rsidR="00191914" w:rsidRPr="00191914" w:rsidRDefault="00191914" w:rsidP="00713D72">
    <w:pPr>
      <w:pStyle w:val="Header"/>
      <w:tabs>
        <w:tab w:val="clear" w:pos="4680"/>
        <w:tab w:val="clear" w:pos="9360"/>
      </w:tabs>
      <w:ind w:firstLine="1260"/>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5E6C" w14:textId="77777777" w:rsidR="00A609B7" w:rsidRPr="002721C1" w:rsidRDefault="00A609B7" w:rsidP="00A609B7">
    <w:pPr>
      <w:spacing w:after="0" w:line="240" w:lineRule="auto"/>
      <w:jc w:val="center"/>
    </w:pPr>
    <w:r w:rsidRPr="002721C1">
      <w:t>New York State Department of Taxation and Finance</w:t>
    </w:r>
  </w:p>
  <w:p w14:paraId="43CD4879" w14:textId="77777777" w:rsidR="00A609B7" w:rsidRPr="002721C1" w:rsidRDefault="00A609B7" w:rsidP="00A609B7">
    <w:pPr>
      <w:spacing w:after="0" w:line="240" w:lineRule="auto"/>
      <w:jc w:val="center"/>
    </w:pPr>
    <w:r w:rsidRPr="002721C1">
      <w:t xml:space="preserve">Request for Proposals (RFP) </w:t>
    </w:r>
    <w:r>
      <w:t>23-103</w:t>
    </w:r>
  </w:p>
  <w:p w14:paraId="296BF025" w14:textId="635E1DD2" w:rsidR="00713D72" w:rsidRPr="00A609B7" w:rsidRDefault="00A609B7" w:rsidP="00A609B7">
    <w:pPr>
      <w:spacing w:line="240" w:lineRule="auto"/>
      <w:jc w:val="center"/>
    </w:pPr>
    <w:r>
      <w:rPr>
        <w:u w:color="000080"/>
      </w:rPr>
      <w:t>Check 21</w:t>
    </w:r>
    <w:r w:rsidRPr="001B289E">
      <w:rPr>
        <w:u w:color="000080"/>
      </w:rPr>
      <w:t xml:space="preserv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CA73" w14:textId="2060B6B0" w:rsidR="000370DF" w:rsidRPr="002721C1" w:rsidRDefault="000370DF" w:rsidP="000370DF">
    <w:pPr>
      <w:spacing w:after="0" w:line="240" w:lineRule="auto"/>
      <w:jc w:val="center"/>
    </w:pPr>
    <w:bookmarkStart w:id="4" w:name="_Hlk112327393"/>
    <w:bookmarkStart w:id="5" w:name="_Hlk112327394"/>
    <w:bookmarkStart w:id="6" w:name="_Hlk112327395"/>
    <w:bookmarkStart w:id="7" w:name="_Hlk112327396"/>
    <w:r w:rsidRPr="000370DF">
      <w:t xml:space="preserve"> </w:t>
    </w:r>
    <w:r w:rsidRPr="002721C1">
      <w:t>New York State Department of Taxation and Finance</w:t>
    </w:r>
  </w:p>
  <w:p w14:paraId="7A186B06" w14:textId="77777777" w:rsidR="000370DF" w:rsidRPr="002721C1" w:rsidRDefault="000370DF" w:rsidP="000370DF">
    <w:pPr>
      <w:spacing w:after="0" w:line="240" w:lineRule="auto"/>
      <w:jc w:val="center"/>
    </w:pPr>
    <w:r w:rsidRPr="002721C1">
      <w:t xml:space="preserve">Request for Proposals (RFP) </w:t>
    </w:r>
    <w:r>
      <w:t>23-103</w:t>
    </w:r>
  </w:p>
  <w:p w14:paraId="269CB04D" w14:textId="6B9885AD" w:rsidR="000370DF" w:rsidRPr="000370DF" w:rsidRDefault="000370DF" w:rsidP="000370DF">
    <w:pPr>
      <w:spacing w:line="240" w:lineRule="auto"/>
      <w:jc w:val="center"/>
    </w:pPr>
    <w:r>
      <w:rPr>
        <w:u w:color="000080"/>
      </w:rPr>
      <w:t>Check 21</w:t>
    </w:r>
    <w:r w:rsidRPr="001B289E">
      <w:rPr>
        <w:u w:color="000080"/>
      </w:rPr>
      <w:t xml:space="preserve"> Services</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4BF"/>
    <w:multiLevelType w:val="hybridMultilevel"/>
    <w:tmpl w:val="85B29216"/>
    <w:lvl w:ilvl="0" w:tplc="CB60A1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810F6A"/>
    <w:multiLevelType w:val="multilevel"/>
    <w:tmpl w:val="0268C0B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071C1"/>
    <w:multiLevelType w:val="hybridMultilevel"/>
    <w:tmpl w:val="49A25A4C"/>
    <w:lvl w:ilvl="0" w:tplc="AE2E9994">
      <w:start w:val="1"/>
      <w:numFmt w:val="decimal"/>
      <w:lvlText w:val="%1."/>
      <w:lvlJc w:val="left"/>
      <w:pPr>
        <w:tabs>
          <w:tab w:val="num" w:pos="360"/>
        </w:tabs>
        <w:ind w:left="360" w:hanging="360"/>
      </w:pPr>
      <w:rPr>
        <w:b/>
      </w:rPr>
    </w:lvl>
    <w:lvl w:ilvl="1" w:tplc="0409001B">
      <w:start w:val="1"/>
      <w:numFmt w:val="lowerRoman"/>
      <w:lvlText w:val="%2."/>
      <w:lvlJc w:val="right"/>
      <w:pPr>
        <w:tabs>
          <w:tab w:val="num" w:pos="810"/>
        </w:tabs>
        <w:ind w:left="810" w:hanging="360"/>
      </w:pPr>
      <w:rPr>
        <w:b/>
        <w:i w:val="0"/>
        <w:color w:val="auto"/>
        <w:sz w:val="2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B4239BB"/>
    <w:multiLevelType w:val="hybridMultilevel"/>
    <w:tmpl w:val="D436ABE4"/>
    <w:lvl w:ilvl="0" w:tplc="104ECDE0">
      <w:start w:val="1"/>
      <w:numFmt w:val="decimal"/>
      <w:lvlText w:val="%1."/>
      <w:lvlJc w:val="left"/>
      <w:pPr>
        <w:tabs>
          <w:tab w:val="num" w:pos="792"/>
        </w:tabs>
        <w:ind w:left="792" w:hanging="432"/>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EF40AAF"/>
    <w:multiLevelType w:val="hybridMultilevel"/>
    <w:tmpl w:val="7C94A18E"/>
    <w:lvl w:ilvl="0" w:tplc="5AB8AAB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74CFC"/>
    <w:multiLevelType w:val="hybridMultilevel"/>
    <w:tmpl w:val="D638A388"/>
    <w:lvl w:ilvl="0" w:tplc="39363FDE">
      <w:start w:val="1"/>
      <w:numFmt w:val="decimal"/>
      <w:lvlText w:val="%1."/>
      <w:lvlJc w:val="left"/>
      <w:pPr>
        <w:tabs>
          <w:tab w:val="num" w:pos="792"/>
        </w:tabs>
        <w:ind w:left="792" w:hanging="432"/>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3D21396"/>
    <w:multiLevelType w:val="multilevel"/>
    <w:tmpl w:val="4D284684"/>
    <w:lvl w:ilvl="0">
      <w:start w:val="3"/>
      <w:numFmt w:val="decimal"/>
      <w:lvlText w:val="%1."/>
      <w:lvlJc w:val="left"/>
      <w:pPr>
        <w:ind w:left="360" w:hanging="360"/>
      </w:pPr>
      <w:rPr>
        <w:rFonts w:hint="default"/>
        <w:b/>
        <w:bCs w:val="0"/>
        <w:i w:val="0"/>
        <w:iCs w:val="0"/>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45611D"/>
    <w:multiLevelType w:val="hybridMultilevel"/>
    <w:tmpl w:val="24DA2DD8"/>
    <w:lvl w:ilvl="0" w:tplc="9884A0C8">
      <w:start w:val="1"/>
      <w:numFmt w:val="decimal"/>
      <w:lvlText w:val="%1."/>
      <w:lvlJc w:val="left"/>
      <w:pPr>
        <w:tabs>
          <w:tab w:val="num" w:pos="1440"/>
        </w:tabs>
        <w:ind w:left="1440" w:hanging="360"/>
      </w:pPr>
      <w:rPr>
        <w:b/>
      </w:rPr>
    </w:lvl>
    <w:lvl w:ilvl="1" w:tplc="04090001">
      <w:start w:val="1"/>
      <w:numFmt w:val="bullet"/>
      <w:lvlText w:val=""/>
      <w:lvlJc w:val="left"/>
      <w:pPr>
        <w:tabs>
          <w:tab w:val="num" w:pos="2160"/>
        </w:tabs>
        <w:ind w:left="2160" w:hanging="360"/>
      </w:pPr>
      <w:rPr>
        <w:rFonts w:ascii="Symbol" w:hAnsi="Symbol"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start w:val="1"/>
      <w:numFmt w:val="bullet"/>
      <w:lvlText w:val="o"/>
      <w:lvlJc w:val="left"/>
      <w:pPr>
        <w:tabs>
          <w:tab w:val="num" w:pos="4320"/>
        </w:tabs>
        <w:ind w:left="4320" w:hanging="360"/>
      </w:pPr>
      <w:rPr>
        <w:rFonts w:ascii="Courier New" w:hAnsi="Courier New" w:cs="Courier New" w:hint="default"/>
      </w:rPr>
    </w:lvl>
    <w:lvl w:ilvl="5" w:tplc="E2E2821E">
      <w:start w:val="1"/>
      <w:numFmt w:val="bullet"/>
      <w:lvlText w:val=""/>
      <w:lvlJc w:val="left"/>
      <w:pPr>
        <w:tabs>
          <w:tab w:val="num" w:pos="5040"/>
        </w:tabs>
        <w:ind w:left="5040" w:hanging="360"/>
      </w:pPr>
      <w:rPr>
        <w:rFonts w:ascii="Wingdings" w:hAnsi="Wingdings" w:hint="default"/>
      </w:rPr>
    </w:lvl>
    <w:lvl w:ilvl="6" w:tplc="3D787BDA">
      <w:start w:val="1"/>
      <w:numFmt w:val="bullet"/>
      <w:lvlText w:val=""/>
      <w:lvlJc w:val="left"/>
      <w:pPr>
        <w:tabs>
          <w:tab w:val="num" w:pos="5760"/>
        </w:tabs>
        <w:ind w:left="5760" w:hanging="360"/>
      </w:pPr>
      <w:rPr>
        <w:rFonts w:ascii="Symbol" w:hAnsi="Symbol" w:hint="default"/>
      </w:rPr>
    </w:lvl>
    <w:lvl w:ilvl="7" w:tplc="DAB4CFF2">
      <w:start w:val="1"/>
      <w:numFmt w:val="bullet"/>
      <w:lvlText w:val="o"/>
      <w:lvlJc w:val="left"/>
      <w:pPr>
        <w:tabs>
          <w:tab w:val="num" w:pos="6480"/>
        </w:tabs>
        <w:ind w:left="6480" w:hanging="360"/>
      </w:pPr>
      <w:rPr>
        <w:rFonts w:ascii="Courier New" w:hAnsi="Courier New" w:cs="Courier New" w:hint="default"/>
      </w:rPr>
    </w:lvl>
    <w:lvl w:ilvl="8" w:tplc="1FFE9ED2">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95620"/>
    <w:multiLevelType w:val="multilevel"/>
    <w:tmpl w:val="E27C2E2A"/>
    <w:lvl w:ilvl="0">
      <w:start w:val="1"/>
      <w:numFmt w:val="decimal"/>
      <w:lvlText w:val="%1."/>
      <w:lvlJc w:val="left"/>
      <w:pPr>
        <w:tabs>
          <w:tab w:val="num" w:pos="1080"/>
        </w:tabs>
        <w:ind w:left="0" w:firstLine="0"/>
      </w:pPr>
      <w:rPr>
        <w:rFonts w:ascii="Arial Bold" w:hAnsi="Arial Bold" w:hint="default"/>
        <w:b/>
        <w:i w:val="0"/>
        <w:color w:val="auto"/>
        <w:sz w:val="20"/>
        <w:szCs w:val="20"/>
      </w:rPr>
    </w:lvl>
    <w:lvl w:ilvl="1">
      <w:start w:val="1"/>
      <w:numFmt w:val="upperLetter"/>
      <w:lvlText w:val="%2."/>
      <w:lvlJc w:val="left"/>
      <w:pPr>
        <w:tabs>
          <w:tab w:val="num" w:pos="1080"/>
        </w:tabs>
        <w:ind w:left="1080" w:hanging="720"/>
      </w:pPr>
      <w:rPr>
        <w:rFonts w:ascii="Arial Bold" w:hAnsi="Arial Bold" w:hint="default"/>
        <w:b/>
        <w:i w:val="0"/>
        <w:color w:val="auto"/>
        <w:sz w:val="20"/>
        <w:szCs w:val="20"/>
      </w:rPr>
    </w:lvl>
    <w:lvl w:ilvl="2">
      <w:start w:val="1"/>
      <w:numFmt w:val="lowerRoman"/>
      <w:lvlText w:val="%3."/>
      <w:lvlJc w:val="left"/>
      <w:pPr>
        <w:tabs>
          <w:tab w:val="num" w:pos="1800"/>
        </w:tabs>
        <w:ind w:left="1800" w:hanging="1080"/>
      </w:pPr>
      <w:rPr>
        <w:rFonts w:ascii="Arial Bold" w:hAnsi="Arial Bold" w:hint="default"/>
        <w:b/>
        <w:i w:val="0"/>
        <w:color w:val="auto"/>
        <w:sz w:val="24"/>
        <w:szCs w:val="24"/>
      </w:rPr>
    </w:lvl>
    <w:lvl w:ilvl="3">
      <w:start w:val="1"/>
      <w:numFmt w:val="lowerLetter"/>
      <w:lvlText w:val="%4)"/>
      <w:lvlJc w:val="right"/>
      <w:pPr>
        <w:tabs>
          <w:tab w:val="num" w:pos="2880"/>
        </w:tabs>
        <w:ind w:left="2880" w:hanging="1080"/>
      </w:pPr>
      <w:rPr>
        <w:rFonts w:ascii="Arial Bold" w:hAnsi="Arial Bold" w:hint="default"/>
        <w:b/>
        <w:i w:val="0"/>
        <w:color w:val="auto"/>
        <w:sz w:val="24"/>
        <w:szCs w:val="28"/>
      </w:rPr>
    </w:lvl>
    <w:lvl w:ilvl="4">
      <w:start w:val="1"/>
      <w:numFmt w:val="bullet"/>
      <w:lvlText w:val=""/>
      <w:lvlJc w:val="left"/>
      <w:pPr>
        <w:tabs>
          <w:tab w:val="num" w:pos="3240"/>
        </w:tabs>
        <w:ind w:left="3240" w:hanging="720"/>
      </w:pPr>
      <w:rPr>
        <w:rFonts w:ascii="Symbol" w:hAnsi="Symbol" w:hint="default"/>
        <w:b w:val="0"/>
        <w:i w:val="0"/>
        <w:color w:val="000080"/>
        <w:sz w:val="24"/>
      </w:rPr>
    </w:lvl>
    <w:lvl w:ilvl="5">
      <w:start w:val="1"/>
      <w:numFmt w:val="decimal"/>
      <w:lvlText w:val="%1.%2.%3.%4.%5.%6."/>
      <w:lvlJc w:val="left"/>
      <w:pPr>
        <w:tabs>
          <w:tab w:val="num" w:pos="5040"/>
        </w:tabs>
        <w:ind w:left="3456" w:hanging="936"/>
      </w:pPr>
    </w:lvl>
    <w:lvl w:ilvl="6">
      <w:start w:val="1"/>
      <w:numFmt w:val="decimal"/>
      <w:lvlText w:val="%1.%2.%3.%4.%5.%6.%7."/>
      <w:lvlJc w:val="left"/>
      <w:pPr>
        <w:tabs>
          <w:tab w:val="num" w:pos="5760"/>
        </w:tabs>
        <w:ind w:left="3960" w:hanging="1080"/>
      </w:pPr>
    </w:lvl>
    <w:lvl w:ilvl="7">
      <w:start w:val="1"/>
      <w:numFmt w:val="decimal"/>
      <w:lvlText w:val="%1.%2.%3.%4.%5.%6.%7.%8."/>
      <w:lvlJc w:val="left"/>
      <w:pPr>
        <w:tabs>
          <w:tab w:val="num" w:pos="6480"/>
        </w:tabs>
        <w:ind w:left="4464" w:hanging="1224"/>
      </w:pPr>
    </w:lvl>
    <w:lvl w:ilvl="8">
      <w:start w:val="1"/>
      <w:numFmt w:val="decimal"/>
      <w:lvlText w:val="%1.%2.%3.%4.%5.%6.%7.%8.%9."/>
      <w:lvlJc w:val="left"/>
      <w:pPr>
        <w:tabs>
          <w:tab w:val="num" w:pos="7200"/>
        </w:tabs>
        <w:ind w:left="5040" w:hanging="1440"/>
      </w:pPr>
    </w:lvl>
  </w:abstractNum>
  <w:abstractNum w:abstractNumId="10" w15:restartNumberingAfterBreak="0">
    <w:nsid w:val="6BE50B7F"/>
    <w:multiLevelType w:val="hybridMultilevel"/>
    <w:tmpl w:val="64348E8A"/>
    <w:lvl w:ilvl="0" w:tplc="307AF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708B3"/>
    <w:multiLevelType w:val="hybridMultilevel"/>
    <w:tmpl w:val="F8C43E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D3174C"/>
    <w:multiLevelType w:val="hybridMultilevel"/>
    <w:tmpl w:val="88A25094"/>
    <w:lvl w:ilvl="0" w:tplc="C1903714">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773C1D59"/>
    <w:multiLevelType w:val="hybridMultilevel"/>
    <w:tmpl w:val="338CF8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349988953">
    <w:abstractNumId w:val="8"/>
  </w:num>
  <w:num w:numId="2" w16cid:durableId="956570961">
    <w:abstractNumId w:val="1"/>
  </w:num>
  <w:num w:numId="3" w16cid:durableId="1749689962">
    <w:abstractNumId w:val="13"/>
  </w:num>
  <w:num w:numId="4" w16cid:durableId="1911768623">
    <w:abstractNumId w:val="6"/>
  </w:num>
  <w:num w:numId="5" w16cid:durableId="786702382">
    <w:abstractNumId w:val="4"/>
  </w:num>
  <w:num w:numId="6" w16cid:durableId="231619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986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8317227">
    <w:abstractNumId w:val="3"/>
  </w:num>
  <w:num w:numId="9" w16cid:durableId="1337876769">
    <w:abstractNumId w:val="7"/>
    <w:lvlOverride w:ilvl="0">
      <w:startOverride w:val="1"/>
    </w:lvlOverride>
    <w:lvlOverride w:ilvl="1"/>
    <w:lvlOverride w:ilvl="2"/>
    <w:lvlOverride w:ilvl="3"/>
    <w:lvlOverride w:ilvl="4"/>
    <w:lvlOverride w:ilvl="5"/>
    <w:lvlOverride w:ilvl="6"/>
    <w:lvlOverride w:ilvl="7"/>
    <w:lvlOverride w:ilvl="8"/>
  </w:num>
  <w:num w:numId="10" w16cid:durableId="1162820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6724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11394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1453791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936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4"/>
    <w:rsid w:val="00005A5B"/>
    <w:rsid w:val="000069B2"/>
    <w:rsid w:val="000370DF"/>
    <w:rsid w:val="00041388"/>
    <w:rsid w:val="00045E1B"/>
    <w:rsid w:val="00080063"/>
    <w:rsid w:val="00087A2C"/>
    <w:rsid w:val="000B7BF8"/>
    <w:rsid w:val="00132A7C"/>
    <w:rsid w:val="001565A8"/>
    <w:rsid w:val="001875CF"/>
    <w:rsid w:val="00191914"/>
    <w:rsid w:val="00194C68"/>
    <w:rsid w:val="001E1977"/>
    <w:rsid w:val="002074F8"/>
    <w:rsid w:val="002264DE"/>
    <w:rsid w:val="0027040A"/>
    <w:rsid w:val="00295F98"/>
    <w:rsid w:val="002B3F97"/>
    <w:rsid w:val="00303C1A"/>
    <w:rsid w:val="003111BE"/>
    <w:rsid w:val="00357E3B"/>
    <w:rsid w:val="00366836"/>
    <w:rsid w:val="00374793"/>
    <w:rsid w:val="003920B3"/>
    <w:rsid w:val="00394E87"/>
    <w:rsid w:val="003A476D"/>
    <w:rsid w:val="003B4028"/>
    <w:rsid w:val="003C2352"/>
    <w:rsid w:val="003C6D04"/>
    <w:rsid w:val="003E50DD"/>
    <w:rsid w:val="004143FC"/>
    <w:rsid w:val="00416ABE"/>
    <w:rsid w:val="004A4BA4"/>
    <w:rsid w:val="004E448D"/>
    <w:rsid w:val="004F5DC3"/>
    <w:rsid w:val="00555E40"/>
    <w:rsid w:val="00565685"/>
    <w:rsid w:val="00587831"/>
    <w:rsid w:val="00595AEC"/>
    <w:rsid w:val="00612137"/>
    <w:rsid w:val="006146B8"/>
    <w:rsid w:val="00625BB9"/>
    <w:rsid w:val="00633B58"/>
    <w:rsid w:val="006C34EC"/>
    <w:rsid w:val="006C7C0C"/>
    <w:rsid w:val="00713D72"/>
    <w:rsid w:val="0073222E"/>
    <w:rsid w:val="0078078E"/>
    <w:rsid w:val="00786A1F"/>
    <w:rsid w:val="00787362"/>
    <w:rsid w:val="007D4D04"/>
    <w:rsid w:val="00804B41"/>
    <w:rsid w:val="00807704"/>
    <w:rsid w:val="0082592C"/>
    <w:rsid w:val="00852D39"/>
    <w:rsid w:val="00866792"/>
    <w:rsid w:val="008A533E"/>
    <w:rsid w:val="008B3CB9"/>
    <w:rsid w:val="008F2318"/>
    <w:rsid w:val="008F712A"/>
    <w:rsid w:val="0096407B"/>
    <w:rsid w:val="00970D2F"/>
    <w:rsid w:val="009A00F4"/>
    <w:rsid w:val="009B4700"/>
    <w:rsid w:val="009D3B5B"/>
    <w:rsid w:val="00A371B2"/>
    <w:rsid w:val="00A5682B"/>
    <w:rsid w:val="00A609B7"/>
    <w:rsid w:val="00AC1032"/>
    <w:rsid w:val="00AD0328"/>
    <w:rsid w:val="00B37019"/>
    <w:rsid w:val="00B44AE2"/>
    <w:rsid w:val="00BC69BF"/>
    <w:rsid w:val="00BE7315"/>
    <w:rsid w:val="00C0219B"/>
    <w:rsid w:val="00C10D77"/>
    <w:rsid w:val="00C43090"/>
    <w:rsid w:val="00C433F1"/>
    <w:rsid w:val="00C53AD5"/>
    <w:rsid w:val="00CA1DC6"/>
    <w:rsid w:val="00D04743"/>
    <w:rsid w:val="00D25BC5"/>
    <w:rsid w:val="00D627D7"/>
    <w:rsid w:val="00DD0768"/>
    <w:rsid w:val="00DD13B6"/>
    <w:rsid w:val="00DE43DB"/>
    <w:rsid w:val="00E41402"/>
    <w:rsid w:val="00E459FC"/>
    <w:rsid w:val="00E84611"/>
    <w:rsid w:val="00F431DA"/>
    <w:rsid w:val="00F44110"/>
    <w:rsid w:val="00F54031"/>
    <w:rsid w:val="00F671BF"/>
    <w:rsid w:val="00FB2398"/>
    <w:rsid w:val="00FE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52D57F"/>
  <w15:chartTrackingRefBased/>
  <w15:docId w15:val="{1D520C63-161C-43B9-AD42-354ED61E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0370DF"/>
    <w:pPr>
      <w:keepNext/>
      <w:spacing w:before="240" w:after="60" w:line="276" w:lineRule="auto"/>
      <w:outlineLvl w:val="0"/>
    </w:pPr>
    <w:rPr>
      <w:rFonts w:ascii="Cambria" w:eastAsia="Times New Roman" w:hAnsi="Cambria" w:cs="Times New Roman"/>
      <w:b/>
      <w:bCs/>
      <w:kern w:val="32"/>
      <w:sz w:val="32"/>
      <w:szCs w:val="32"/>
      <w:lang w:val="x-none" w:eastAsia="x-none"/>
      <w14:ligatures w14:val="none"/>
    </w:rPr>
  </w:style>
  <w:style w:type="paragraph" w:styleId="Heading2">
    <w:name w:val="heading 2"/>
    <w:aliases w:val="Char"/>
    <w:basedOn w:val="Normal"/>
    <w:next w:val="Normal"/>
    <w:link w:val="Heading2Char"/>
    <w:uiPriority w:val="9"/>
    <w:unhideWhenUsed/>
    <w:qFormat/>
    <w:rsid w:val="000370DF"/>
    <w:pPr>
      <w:keepNext/>
      <w:spacing w:before="240" w:after="60" w:line="276" w:lineRule="auto"/>
      <w:outlineLvl w:val="1"/>
    </w:pPr>
    <w:rPr>
      <w:rFonts w:ascii="Cambria" w:eastAsia="Times New Roman" w:hAnsi="Cambria" w:cs="Times New Roman"/>
      <w:b/>
      <w:bCs/>
      <w:i/>
      <w:iCs/>
      <w:kern w:val="0"/>
      <w:sz w:val="28"/>
      <w:szCs w:val="2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191914"/>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91914"/>
  </w:style>
  <w:style w:type="paragraph" w:styleId="Footer">
    <w:name w:val="footer"/>
    <w:basedOn w:val="Normal"/>
    <w:link w:val="FooterChar"/>
    <w:uiPriority w:val="99"/>
    <w:unhideWhenUsed/>
    <w:rsid w:val="00191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14"/>
  </w:style>
  <w:style w:type="character" w:styleId="CommentReference">
    <w:name w:val="annotation reference"/>
    <w:basedOn w:val="DefaultParagraphFont"/>
    <w:uiPriority w:val="99"/>
    <w:semiHidden/>
    <w:unhideWhenUsed/>
    <w:rsid w:val="008A533E"/>
    <w:rPr>
      <w:sz w:val="16"/>
      <w:szCs w:val="16"/>
    </w:rPr>
  </w:style>
  <w:style w:type="paragraph" w:styleId="CommentText">
    <w:name w:val="annotation text"/>
    <w:basedOn w:val="Normal"/>
    <w:link w:val="CommentTextChar"/>
    <w:uiPriority w:val="99"/>
    <w:unhideWhenUsed/>
    <w:rsid w:val="008A533E"/>
    <w:pPr>
      <w:spacing w:line="240" w:lineRule="auto"/>
    </w:pPr>
    <w:rPr>
      <w:sz w:val="20"/>
      <w:szCs w:val="20"/>
    </w:rPr>
  </w:style>
  <w:style w:type="character" w:customStyle="1" w:styleId="CommentTextChar">
    <w:name w:val="Comment Text Char"/>
    <w:basedOn w:val="DefaultParagraphFont"/>
    <w:link w:val="CommentText"/>
    <w:uiPriority w:val="99"/>
    <w:rsid w:val="008A533E"/>
    <w:rPr>
      <w:sz w:val="20"/>
      <w:szCs w:val="20"/>
    </w:rPr>
  </w:style>
  <w:style w:type="paragraph" w:styleId="CommentSubject">
    <w:name w:val="annotation subject"/>
    <w:basedOn w:val="CommentText"/>
    <w:next w:val="CommentText"/>
    <w:link w:val="CommentSubjectChar"/>
    <w:uiPriority w:val="99"/>
    <w:semiHidden/>
    <w:unhideWhenUsed/>
    <w:rsid w:val="008A533E"/>
    <w:rPr>
      <w:b/>
      <w:bCs/>
    </w:rPr>
  </w:style>
  <w:style w:type="character" w:customStyle="1" w:styleId="CommentSubjectChar">
    <w:name w:val="Comment Subject Char"/>
    <w:basedOn w:val="CommentTextChar"/>
    <w:link w:val="CommentSubject"/>
    <w:uiPriority w:val="99"/>
    <w:semiHidden/>
    <w:rsid w:val="008A533E"/>
    <w:rPr>
      <w:b/>
      <w:bCs/>
      <w:sz w:val="20"/>
      <w:szCs w:val="20"/>
    </w:rPr>
  </w:style>
  <w:style w:type="character" w:styleId="Hyperlink">
    <w:name w:val="Hyperlink"/>
    <w:basedOn w:val="DefaultParagraphFont"/>
    <w:uiPriority w:val="99"/>
    <w:unhideWhenUsed/>
    <w:rsid w:val="008A533E"/>
    <w:rPr>
      <w:color w:val="0563C1" w:themeColor="hyperlink"/>
      <w:u w:val="single"/>
    </w:rPr>
  </w:style>
  <w:style w:type="character" w:styleId="UnresolvedMention">
    <w:name w:val="Unresolved Mention"/>
    <w:basedOn w:val="DefaultParagraphFont"/>
    <w:uiPriority w:val="99"/>
    <w:semiHidden/>
    <w:unhideWhenUsed/>
    <w:rsid w:val="008A533E"/>
    <w:rPr>
      <w:color w:val="605E5C"/>
      <w:shd w:val="clear" w:color="auto" w:fill="E1DFDD"/>
    </w:rPr>
  </w:style>
  <w:style w:type="paragraph" w:styleId="Revision">
    <w:name w:val="Revision"/>
    <w:hidden/>
    <w:uiPriority w:val="99"/>
    <w:semiHidden/>
    <w:rsid w:val="009B4700"/>
    <w:pPr>
      <w:spacing w:after="0" w:line="240" w:lineRule="auto"/>
    </w:pPr>
  </w:style>
  <w:style w:type="character" w:styleId="FollowedHyperlink">
    <w:name w:val="FollowedHyperlink"/>
    <w:basedOn w:val="DefaultParagraphFont"/>
    <w:uiPriority w:val="99"/>
    <w:semiHidden/>
    <w:unhideWhenUsed/>
    <w:rsid w:val="002B3F97"/>
    <w:rPr>
      <w:color w:val="954F72" w:themeColor="followedHyperlink"/>
      <w:u w:val="single"/>
    </w:rPr>
  </w:style>
  <w:style w:type="character" w:customStyle="1" w:styleId="Heading1Char">
    <w:name w:val="Heading 1 Char"/>
    <w:aliases w:val="h1 Char,new page/chapter Char,Heading 1 (NN) Char,subhead 1 Char,H1 Char,1 ghost Char,g Char,Part Char"/>
    <w:basedOn w:val="DefaultParagraphFont"/>
    <w:link w:val="Heading1"/>
    <w:uiPriority w:val="9"/>
    <w:rsid w:val="000370DF"/>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aliases w:val="Char Char"/>
    <w:basedOn w:val="DefaultParagraphFont"/>
    <w:link w:val="Heading2"/>
    <w:uiPriority w:val="9"/>
    <w:rsid w:val="000370DF"/>
    <w:rPr>
      <w:rFonts w:ascii="Cambria" w:eastAsia="Times New Roman" w:hAnsi="Cambria" w:cs="Times New Roman"/>
      <w:b/>
      <w:bCs/>
      <w:i/>
      <w:iCs/>
      <w:kern w:val="0"/>
      <w:sz w:val="28"/>
      <w:szCs w:val="28"/>
      <w:lang w:val="x-none" w:eastAsia="x-none"/>
      <w14:ligatures w14:val="none"/>
    </w:rPr>
  </w:style>
  <w:style w:type="paragraph" w:styleId="ListParagraph">
    <w:name w:val="List Paragraph"/>
    <w:basedOn w:val="Normal"/>
    <w:link w:val="ListParagraphChar"/>
    <w:uiPriority w:val="34"/>
    <w:qFormat/>
    <w:rsid w:val="000370DF"/>
    <w:pPr>
      <w:spacing w:after="200" w:line="276" w:lineRule="auto"/>
      <w:ind w:left="720"/>
    </w:pPr>
    <w:rPr>
      <w:rFonts w:ascii="Calibri" w:eastAsia="Calibri" w:hAnsi="Calibri" w:cs="Times New Roman"/>
      <w:kern w:val="0"/>
      <w14:ligatures w14:val="none"/>
    </w:rPr>
  </w:style>
  <w:style w:type="paragraph" w:customStyle="1" w:styleId="Default">
    <w:name w:val="Default"/>
    <w:link w:val="DefaultChar"/>
    <w:rsid w:val="000370DF"/>
    <w:pPr>
      <w:widowControl w:val="0"/>
      <w:autoSpaceDE w:val="0"/>
      <w:autoSpaceDN w:val="0"/>
      <w:adjustRightInd w:val="0"/>
      <w:spacing w:after="0" w:line="240" w:lineRule="auto"/>
    </w:pPr>
    <w:rPr>
      <w:rFonts w:eastAsia="Times New Roman"/>
      <w:color w:val="000000"/>
      <w:kern w:val="0"/>
      <w:sz w:val="24"/>
      <w:szCs w:val="24"/>
      <w14:ligatures w14:val="none"/>
    </w:rPr>
  </w:style>
  <w:style w:type="character" w:customStyle="1" w:styleId="DefaultChar">
    <w:name w:val="Default Char"/>
    <w:link w:val="Default"/>
    <w:rsid w:val="000370DF"/>
    <w:rPr>
      <w:rFonts w:eastAsia="Times New Roman"/>
      <w:color w:val="000000"/>
      <w:kern w:val="0"/>
      <w:sz w:val="24"/>
      <w:szCs w:val="24"/>
      <w14:ligatures w14:val="none"/>
    </w:rPr>
  </w:style>
  <w:style w:type="paragraph" w:customStyle="1" w:styleId="TableParagraph">
    <w:name w:val="Table Paragraph"/>
    <w:basedOn w:val="Normal"/>
    <w:uiPriority w:val="1"/>
    <w:qFormat/>
    <w:rsid w:val="000370DF"/>
    <w:pPr>
      <w:widowControl w:val="0"/>
      <w:spacing w:after="0" w:line="240" w:lineRule="auto"/>
    </w:pPr>
    <w:rPr>
      <w:rFonts w:ascii="Calibri" w:eastAsia="Calibri" w:hAnsi="Calibri" w:cs="Times New Roman"/>
      <w:kern w:val="0"/>
      <w14:ligatures w14:val="none"/>
    </w:rPr>
  </w:style>
  <w:style w:type="character" w:customStyle="1" w:styleId="ListParagraphChar">
    <w:name w:val="List Paragraph Char"/>
    <w:basedOn w:val="DefaultParagraphFont"/>
    <w:link w:val="ListParagraph"/>
    <w:uiPriority w:val="34"/>
    <w:locked/>
    <w:rsid w:val="000370DF"/>
    <w:rPr>
      <w:rFonts w:ascii="Calibri" w:eastAsia="Calibri" w:hAnsi="Calibri" w:cs="Times New Roman"/>
      <w:kern w:val="0"/>
      <w14:ligatures w14:val="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B44AE2"/>
    <w:pPr>
      <w:widowControl w:val="0"/>
      <w:autoSpaceDE w:val="0"/>
      <w:autoSpaceDN w:val="0"/>
      <w:spacing w:after="0" w:line="240" w:lineRule="auto"/>
    </w:pPr>
    <w:rPr>
      <w:rFonts w:eastAsia="Arial"/>
      <w:kern w:val="0"/>
      <w14:ligatures w14:val="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B44AE2"/>
    <w:rPr>
      <w:rFonts w:eastAsia="Arial"/>
      <w:kern w:val="0"/>
      <w14:ligatures w14:val="none"/>
    </w:rPr>
  </w:style>
  <w:style w:type="character" w:customStyle="1" w:styleId="cf01">
    <w:name w:val="cf01"/>
    <w:basedOn w:val="DefaultParagraphFont"/>
    <w:rsid w:val="006121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685">
      <w:bodyDiv w:val="1"/>
      <w:marLeft w:val="0"/>
      <w:marRight w:val="0"/>
      <w:marTop w:val="0"/>
      <w:marBottom w:val="0"/>
      <w:divBdr>
        <w:top w:val="none" w:sz="0" w:space="0" w:color="auto"/>
        <w:left w:val="none" w:sz="0" w:space="0" w:color="auto"/>
        <w:bottom w:val="none" w:sz="0" w:space="0" w:color="auto"/>
        <w:right w:val="none" w:sz="0" w:space="0" w:color="auto"/>
      </w:divBdr>
    </w:div>
    <w:div w:id="782189530">
      <w:bodyDiv w:val="1"/>
      <w:marLeft w:val="0"/>
      <w:marRight w:val="0"/>
      <w:marTop w:val="0"/>
      <w:marBottom w:val="0"/>
      <w:divBdr>
        <w:top w:val="none" w:sz="0" w:space="0" w:color="auto"/>
        <w:left w:val="none" w:sz="0" w:space="0" w:color="auto"/>
        <w:bottom w:val="none" w:sz="0" w:space="0" w:color="auto"/>
        <w:right w:val="none" w:sz="0" w:space="0" w:color="auto"/>
      </w:divBdr>
    </w:div>
    <w:div w:id="806436480">
      <w:bodyDiv w:val="1"/>
      <w:marLeft w:val="0"/>
      <w:marRight w:val="0"/>
      <w:marTop w:val="0"/>
      <w:marBottom w:val="0"/>
      <w:divBdr>
        <w:top w:val="none" w:sz="0" w:space="0" w:color="auto"/>
        <w:left w:val="none" w:sz="0" w:space="0" w:color="auto"/>
        <w:bottom w:val="none" w:sz="0" w:space="0" w:color="auto"/>
        <w:right w:val="none" w:sz="0" w:space="0" w:color="auto"/>
      </w:divBdr>
    </w:div>
    <w:div w:id="1719469583">
      <w:bodyDiv w:val="1"/>
      <w:marLeft w:val="0"/>
      <w:marRight w:val="0"/>
      <w:marTop w:val="0"/>
      <w:marBottom w:val="0"/>
      <w:divBdr>
        <w:top w:val="none" w:sz="0" w:space="0" w:color="auto"/>
        <w:left w:val="none" w:sz="0" w:space="0" w:color="auto"/>
        <w:bottom w:val="none" w:sz="0" w:space="0" w:color="auto"/>
        <w:right w:val="none" w:sz="0" w:space="0" w:color="auto"/>
      </w:divBdr>
    </w:div>
    <w:div w:id="19139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sc.state.ny.us/state-agencies/trav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Brownell (TAX)</dc:creator>
  <cp:keywords/>
  <dc:description/>
  <cp:lastModifiedBy>Matthew Brownell (TAX)</cp:lastModifiedBy>
  <cp:revision>2</cp:revision>
  <dcterms:created xsi:type="dcterms:W3CDTF">2024-03-07T15:48:00Z</dcterms:created>
  <dcterms:modified xsi:type="dcterms:W3CDTF">2024-03-07T15:48:00Z</dcterms:modified>
</cp:coreProperties>
</file>