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6"/>
        <w:gridCol w:w="2963"/>
        <w:gridCol w:w="3762"/>
      </w:tblGrid>
      <w:tr w:rsidR="008B0D31" w:rsidRPr="00643312" w14:paraId="313DF557" w14:textId="77777777" w:rsidTr="00A173D6">
        <w:trPr>
          <w:trHeight w:val="1017"/>
          <w:jc w:val="center"/>
        </w:trPr>
        <w:tc>
          <w:tcPr>
            <w:tcW w:w="11131" w:type="dxa"/>
            <w:gridSpan w:val="3"/>
          </w:tcPr>
          <w:p w14:paraId="2335EB30" w14:textId="77777777" w:rsidR="008B0D31" w:rsidRPr="00643312" w:rsidRDefault="008B0D31" w:rsidP="00E76021">
            <w:pPr>
              <w:ind w:left="733"/>
              <w:rPr>
                <w:rFonts w:cs="Arial"/>
                <w:i/>
              </w:rPr>
            </w:pPr>
            <w:bookmarkStart w:id="0" w:name="_Hlk89341694"/>
            <w:r w:rsidRPr="00643312">
              <w:rPr>
                <w:rFonts w:cs="Arial"/>
                <w:i/>
                <w:noProof/>
              </w:rPr>
              <w:drawing>
                <wp:inline distT="0" distB="0" distL="0" distR="0" wp14:anchorId="48E9C3AC" wp14:editId="4B047AFF">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68C58F7" w14:textId="77777777" w:rsidR="008B0D31" w:rsidRPr="00643312" w:rsidRDefault="008B0D31" w:rsidP="00E76021">
            <w:pPr>
              <w:ind w:left="45"/>
              <w:rPr>
                <w:rFonts w:cs="Arial"/>
                <w:i/>
              </w:rPr>
            </w:pPr>
          </w:p>
        </w:tc>
      </w:tr>
      <w:tr w:rsidR="008B0D31" w:rsidRPr="00643312" w14:paraId="642791AB" w14:textId="77777777" w:rsidTr="00A173D6">
        <w:trPr>
          <w:trHeight w:val="551"/>
          <w:jc w:val="center"/>
        </w:trPr>
        <w:tc>
          <w:tcPr>
            <w:tcW w:w="4406" w:type="dxa"/>
            <w:vAlign w:val="center"/>
          </w:tcPr>
          <w:p w14:paraId="30F9DCE1" w14:textId="77777777" w:rsidR="008B0D31" w:rsidRPr="00643312" w:rsidRDefault="008B0D31" w:rsidP="00E76021">
            <w:pPr>
              <w:spacing w:before="160"/>
              <w:ind w:left="733"/>
              <w:rPr>
                <w:rFonts w:cs="Arial"/>
                <w:b/>
                <w:caps/>
                <w:noProof/>
                <w:sz w:val="20"/>
              </w:rPr>
            </w:pPr>
            <w:r w:rsidRPr="00643312">
              <w:rPr>
                <w:rFonts w:cs="Arial"/>
                <w:b/>
                <w:color w:val="007681"/>
              </w:rPr>
              <w:t>BUREAU OF FISCAL SERVICES</w:t>
            </w:r>
            <w:r w:rsidRPr="00643312">
              <w:rPr>
                <w:rFonts w:cs="Arial"/>
                <w:b/>
                <w:caps/>
                <w:noProof/>
                <w:sz w:val="20"/>
              </w:rPr>
              <w:t xml:space="preserve"> </w:t>
            </w:r>
          </w:p>
          <w:p w14:paraId="7C9B6825" w14:textId="77777777" w:rsidR="008B0D31" w:rsidRPr="00643312" w:rsidRDefault="008B0D31" w:rsidP="00E76021">
            <w:pPr>
              <w:spacing w:before="60"/>
              <w:ind w:left="734"/>
              <w:rPr>
                <w:rFonts w:cs="Arial"/>
                <w:b/>
                <w:caps/>
                <w:noProof/>
                <w:sz w:val="20"/>
              </w:rPr>
            </w:pPr>
            <w:r w:rsidRPr="00643312">
              <w:rPr>
                <w:rFonts w:cs="Arial"/>
                <w:b/>
                <w:caps/>
                <w:noProof/>
                <w:sz w:val="20"/>
              </w:rPr>
              <w:t>Procurement Unit</w:t>
            </w:r>
          </w:p>
          <w:p w14:paraId="70F74D6C" w14:textId="77777777" w:rsidR="008B0D31" w:rsidRPr="00643312" w:rsidRDefault="008B0D31" w:rsidP="00E76021">
            <w:pPr>
              <w:spacing w:before="60"/>
              <w:ind w:left="734"/>
              <w:rPr>
                <w:rFonts w:cs="Arial"/>
                <w:b/>
                <w:caps/>
                <w:noProof/>
                <w:sz w:val="20"/>
              </w:rPr>
            </w:pPr>
          </w:p>
          <w:p w14:paraId="5A621D59" w14:textId="77777777" w:rsidR="008B0D31" w:rsidRPr="00643312" w:rsidRDefault="008B0D31" w:rsidP="00E76021">
            <w:pPr>
              <w:spacing w:before="60"/>
              <w:ind w:left="734"/>
              <w:rPr>
                <w:rFonts w:cs="Arial"/>
                <w:b/>
                <w:caps/>
                <w:noProof/>
                <w:sz w:val="20"/>
              </w:rPr>
            </w:pPr>
          </w:p>
        </w:tc>
        <w:tc>
          <w:tcPr>
            <w:tcW w:w="2963" w:type="dxa"/>
            <w:vAlign w:val="center"/>
          </w:tcPr>
          <w:p w14:paraId="010CB594" w14:textId="77777777" w:rsidR="008B0D31" w:rsidRPr="00643312" w:rsidRDefault="008B0D31" w:rsidP="00E76021">
            <w:pPr>
              <w:ind w:left="250"/>
              <w:rPr>
                <w:rFonts w:cs="Arial"/>
                <w:noProof/>
              </w:rPr>
            </w:pPr>
          </w:p>
        </w:tc>
        <w:tc>
          <w:tcPr>
            <w:tcW w:w="3762" w:type="dxa"/>
            <w:vAlign w:val="center"/>
          </w:tcPr>
          <w:p w14:paraId="5F9EA4DD" w14:textId="77777777" w:rsidR="008B0D31" w:rsidRPr="00643312" w:rsidRDefault="008B0D31" w:rsidP="00E76021">
            <w:pPr>
              <w:ind w:left="593"/>
              <w:rPr>
                <w:rFonts w:cs="Arial"/>
                <w:caps/>
                <w:noProof/>
                <w:sz w:val="20"/>
              </w:rPr>
            </w:pPr>
          </w:p>
        </w:tc>
      </w:tr>
    </w:tbl>
    <w:p w14:paraId="5D0C3B30" w14:textId="03C93770" w:rsidR="00200061" w:rsidRPr="00120E80" w:rsidRDefault="00BB39C9" w:rsidP="008B0D31">
      <w:pPr>
        <w:jc w:val="center"/>
        <w:rPr>
          <w:rFonts w:eastAsia="Calibri" w:cs="Arial"/>
          <w:b/>
          <w:bCs/>
          <w:sz w:val="26"/>
          <w:szCs w:val="26"/>
        </w:rPr>
      </w:pPr>
      <w:r w:rsidRPr="00120E80">
        <w:rPr>
          <w:rFonts w:eastAsia="Calibri" w:cs="Arial"/>
          <w:b/>
          <w:bCs/>
          <w:sz w:val="26"/>
          <w:szCs w:val="26"/>
        </w:rPr>
        <w:t>December 7</w:t>
      </w:r>
      <w:r w:rsidR="00F26534" w:rsidRPr="00120E80">
        <w:rPr>
          <w:rFonts w:eastAsia="Calibri" w:cs="Arial"/>
          <w:b/>
          <w:bCs/>
          <w:sz w:val="26"/>
          <w:szCs w:val="26"/>
        </w:rPr>
        <w:t>, 202</w:t>
      </w:r>
      <w:r w:rsidRPr="00120E80">
        <w:rPr>
          <w:rFonts w:eastAsia="Calibri" w:cs="Arial"/>
          <w:b/>
          <w:bCs/>
          <w:sz w:val="26"/>
          <w:szCs w:val="26"/>
        </w:rPr>
        <w:t>3</w:t>
      </w:r>
    </w:p>
    <w:p w14:paraId="39479A1F" w14:textId="77777777" w:rsidR="008B0D31" w:rsidRPr="00643312" w:rsidRDefault="008B0D31" w:rsidP="008B0D31">
      <w:pPr>
        <w:jc w:val="center"/>
        <w:rPr>
          <w:rFonts w:cs="Arial"/>
          <w:b/>
        </w:rPr>
      </w:pPr>
    </w:p>
    <w:p w14:paraId="0AF07081" w14:textId="062F839D" w:rsidR="005900D7" w:rsidRPr="00643312" w:rsidRDefault="008B0D31" w:rsidP="008B0D31">
      <w:pPr>
        <w:jc w:val="center"/>
        <w:rPr>
          <w:rFonts w:eastAsia="Calibri" w:cs="Arial"/>
          <w:b/>
          <w:bCs/>
          <w:sz w:val="26"/>
          <w:szCs w:val="26"/>
        </w:rPr>
      </w:pPr>
      <w:r w:rsidRPr="00643312">
        <w:rPr>
          <w:rFonts w:eastAsia="Calibri" w:cs="Arial"/>
          <w:b/>
          <w:bCs/>
          <w:sz w:val="26"/>
          <w:szCs w:val="26"/>
        </w:rPr>
        <w:t xml:space="preserve">Request for Proposals (RFP) </w:t>
      </w:r>
      <w:r w:rsidR="00CF7D0F" w:rsidRPr="00643312">
        <w:rPr>
          <w:rFonts w:eastAsia="Calibri" w:cs="Arial"/>
          <w:b/>
          <w:bCs/>
          <w:sz w:val="26"/>
          <w:szCs w:val="26"/>
        </w:rPr>
        <w:t>2</w:t>
      </w:r>
      <w:r w:rsidR="00BB39C9">
        <w:rPr>
          <w:rFonts w:eastAsia="Calibri" w:cs="Arial"/>
          <w:b/>
          <w:bCs/>
          <w:sz w:val="26"/>
          <w:szCs w:val="26"/>
        </w:rPr>
        <w:t>3</w:t>
      </w:r>
      <w:r w:rsidR="00F26534" w:rsidRPr="00643312">
        <w:rPr>
          <w:rFonts w:eastAsia="Calibri" w:cs="Arial"/>
          <w:b/>
          <w:bCs/>
          <w:sz w:val="26"/>
          <w:szCs w:val="26"/>
        </w:rPr>
        <w:t>-</w:t>
      </w:r>
      <w:r w:rsidR="00A173D6" w:rsidRPr="00643312">
        <w:rPr>
          <w:rFonts w:eastAsia="Calibri" w:cs="Arial"/>
          <w:b/>
          <w:bCs/>
          <w:sz w:val="26"/>
          <w:szCs w:val="26"/>
        </w:rPr>
        <w:t>10</w:t>
      </w:r>
      <w:r w:rsidR="00BB39C9">
        <w:rPr>
          <w:rFonts w:eastAsia="Calibri" w:cs="Arial"/>
          <w:b/>
          <w:bCs/>
          <w:sz w:val="26"/>
          <w:szCs w:val="26"/>
        </w:rPr>
        <w:t>2</w:t>
      </w:r>
      <w:r w:rsidR="00F26534" w:rsidRPr="00643312">
        <w:rPr>
          <w:rFonts w:eastAsia="Calibri" w:cs="Arial"/>
          <w:b/>
          <w:bCs/>
          <w:sz w:val="26"/>
          <w:szCs w:val="26"/>
        </w:rPr>
        <w:t xml:space="preserve"> </w:t>
      </w:r>
    </w:p>
    <w:p w14:paraId="4518C527" w14:textId="02F60B42" w:rsidR="008B0D31" w:rsidRPr="00643312" w:rsidRDefault="00BB39C9" w:rsidP="008B0D31">
      <w:pPr>
        <w:jc w:val="center"/>
        <w:rPr>
          <w:rFonts w:eastAsia="Calibri" w:cs="Arial"/>
          <w:b/>
          <w:bCs/>
          <w:sz w:val="26"/>
          <w:szCs w:val="26"/>
        </w:rPr>
      </w:pPr>
      <w:r>
        <w:rPr>
          <w:rFonts w:eastAsia="Calibri" w:cs="Arial"/>
          <w:b/>
          <w:bCs/>
          <w:sz w:val="26"/>
          <w:szCs w:val="26"/>
        </w:rPr>
        <w:t>Financial Institution Data Match Services</w:t>
      </w:r>
    </w:p>
    <w:p w14:paraId="62503D29" w14:textId="77777777" w:rsidR="005900D7" w:rsidRPr="00643312" w:rsidRDefault="005900D7" w:rsidP="008B0D31">
      <w:pPr>
        <w:jc w:val="center"/>
        <w:rPr>
          <w:rFonts w:eastAsia="Calibri" w:cs="Arial"/>
          <w:b/>
          <w:bCs/>
          <w:sz w:val="26"/>
          <w:szCs w:val="26"/>
        </w:rPr>
      </w:pPr>
    </w:p>
    <w:p w14:paraId="3B473F7D" w14:textId="3317E837" w:rsidR="008B0D31" w:rsidRPr="00643312" w:rsidRDefault="00A87C6F" w:rsidP="008B0D31">
      <w:pPr>
        <w:jc w:val="center"/>
        <w:rPr>
          <w:rFonts w:eastAsia="Calibri" w:cs="Arial"/>
          <w:b/>
          <w:bCs/>
          <w:sz w:val="26"/>
          <w:szCs w:val="26"/>
        </w:rPr>
      </w:pPr>
      <w:r w:rsidRPr="00643312">
        <w:rPr>
          <w:rFonts w:eastAsia="Calibri" w:cs="Arial"/>
          <w:b/>
          <w:bCs/>
          <w:sz w:val="26"/>
          <w:szCs w:val="26"/>
        </w:rPr>
        <w:t>Response to Bidder Questions</w:t>
      </w:r>
      <w:r w:rsidR="00BF6ED8">
        <w:rPr>
          <w:rFonts w:eastAsia="Calibri" w:cs="Arial"/>
          <w:b/>
          <w:bCs/>
          <w:sz w:val="26"/>
          <w:szCs w:val="26"/>
        </w:rPr>
        <w:t xml:space="preserve"> and Amendment #1</w:t>
      </w:r>
    </w:p>
    <w:p w14:paraId="375B5FF9" w14:textId="77777777" w:rsidR="008B0D31" w:rsidRPr="00643312" w:rsidRDefault="008B0D31" w:rsidP="008B0D31">
      <w:pPr>
        <w:jc w:val="center"/>
        <w:rPr>
          <w:rFonts w:eastAsia="Calibri" w:cs="Arial"/>
          <w:b/>
          <w:bCs/>
          <w:sz w:val="26"/>
          <w:szCs w:val="26"/>
        </w:rPr>
      </w:pPr>
    </w:p>
    <w:p w14:paraId="477DAAD3" w14:textId="77777777" w:rsidR="008B0D31" w:rsidRPr="00643312" w:rsidRDefault="008B0D31" w:rsidP="008B0D31">
      <w:pPr>
        <w:jc w:val="center"/>
        <w:rPr>
          <w:rFonts w:eastAsia="Calibri" w:cs="Arial"/>
          <w:b/>
          <w:bCs/>
          <w:sz w:val="26"/>
          <w:szCs w:val="26"/>
        </w:rPr>
      </w:pPr>
    </w:p>
    <w:p w14:paraId="3B0F328D" w14:textId="77777777" w:rsidR="008B0D31" w:rsidRPr="00BF6ED8" w:rsidRDefault="008B0D31" w:rsidP="008B0D31">
      <w:pPr>
        <w:autoSpaceDE w:val="0"/>
        <w:autoSpaceDN w:val="0"/>
        <w:adjustRightInd w:val="0"/>
        <w:spacing w:after="200" w:line="276" w:lineRule="auto"/>
        <w:rPr>
          <w:rFonts w:eastAsia="Calibri" w:cs="Arial"/>
          <w:sz w:val="22"/>
          <w:szCs w:val="22"/>
        </w:rPr>
      </w:pPr>
      <w:bookmarkStart w:id="1" w:name="_Hlk3362932"/>
      <w:r w:rsidRPr="00BF6ED8">
        <w:rPr>
          <w:rFonts w:eastAsia="Calibri" w:cs="Arial"/>
          <w:sz w:val="22"/>
          <w:szCs w:val="22"/>
        </w:rPr>
        <w:t>To All Potential Bidders:</w:t>
      </w:r>
    </w:p>
    <w:p w14:paraId="662DDE48" w14:textId="7F3B96D1" w:rsidR="00BF341E" w:rsidRPr="00BF6ED8" w:rsidRDefault="00A87C6F" w:rsidP="00BF6ED8">
      <w:pPr>
        <w:autoSpaceDE w:val="0"/>
        <w:autoSpaceDN w:val="0"/>
        <w:spacing w:before="60" w:after="200" w:line="276" w:lineRule="auto"/>
        <w:jc w:val="both"/>
        <w:rPr>
          <w:rFonts w:cs="Arial"/>
          <w:sz w:val="22"/>
          <w:szCs w:val="22"/>
        </w:rPr>
      </w:pPr>
      <w:r w:rsidRPr="00BF6ED8">
        <w:rPr>
          <w:rFonts w:cs="Arial"/>
          <w:sz w:val="22"/>
          <w:szCs w:val="22"/>
        </w:rPr>
        <w:t>Attached are the Department’s Responses to Bidder Questions received for the above referenced RFP.</w:t>
      </w:r>
      <w:bookmarkEnd w:id="1"/>
    </w:p>
    <w:p w14:paraId="7EC837B1" w14:textId="1B2116DD" w:rsidR="00BF6ED8" w:rsidRPr="00BF6ED8" w:rsidRDefault="00BF6ED8" w:rsidP="00BF6ED8">
      <w:pPr>
        <w:spacing w:before="240" w:line="276" w:lineRule="auto"/>
        <w:rPr>
          <w:rFonts w:cs="Arial"/>
          <w:sz w:val="22"/>
          <w:szCs w:val="22"/>
        </w:rPr>
      </w:pPr>
      <w:r w:rsidRPr="00BF6ED8">
        <w:rPr>
          <w:rFonts w:cs="Arial"/>
          <w:sz w:val="22"/>
          <w:szCs w:val="22"/>
        </w:rPr>
        <w:t>Additionally, the Department is issuing Amendment #</w:t>
      </w:r>
      <w:r w:rsidR="00656111">
        <w:rPr>
          <w:rFonts w:cs="Arial"/>
          <w:sz w:val="22"/>
          <w:szCs w:val="22"/>
        </w:rPr>
        <w:t>1</w:t>
      </w:r>
      <w:r w:rsidRPr="00BF6ED8">
        <w:rPr>
          <w:rFonts w:cs="Arial"/>
          <w:sz w:val="22"/>
          <w:szCs w:val="22"/>
        </w:rPr>
        <w:t xml:space="preserve"> as clarification to:</w:t>
      </w:r>
    </w:p>
    <w:p w14:paraId="74E134C2" w14:textId="3405FB66" w:rsidR="00BF6ED8" w:rsidRPr="00BF6ED8" w:rsidRDefault="00BF6ED8" w:rsidP="00BF6ED8">
      <w:pPr>
        <w:numPr>
          <w:ilvl w:val="0"/>
          <w:numId w:val="25"/>
        </w:numPr>
        <w:autoSpaceDE w:val="0"/>
        <w:autoSpaceDN w:val="0"/>
        <w:adjustRightInd w:val="0"/>
        <w:spacing w:before="240" w:after="60" w:line="276" w:lineRule="auto"/>
        <w:jc w:val="both"/>
        <w:rPr>
          <w:rFonts w:eastAsia="Calibri" w:cs="Arial"/>
          <w:sz w:val="22"/>
          <w:szCs w:val="22"/>
        </w:rPr>
      </w:pPr>
      <w:r w:rsidRPr="00BF6ED8">
        <w:rPr>
          <w:rFonts w:eastAsia="Calibri" w:cs="Arial"/>
          <w:sz w:val="22"/>
          <w:szCs w:val="22"/>
        </w:rPr>
        <w:t xml:space="preserve">Amend </w:t>
      </w:r>
      <w:r w:rsidR="00D240D9">
        <w:rPr>
          <w:rFonts w:eastAsia="Calibri" w:cs="Arial"/>
          <w:sz w:val="22"/>
          <w:szCs w:val="22"/>
        </w:rPr>
        <w:t>RFP 23-102, Section 7.1.</w:t>
      </w:r>
      <w:r w:rsidRPr="00BF6ED8">
        <w:rPr>
          <w:rFonts w:eastAsia="Calibri" w:cs="Arial"/>
          <w:sz w:val="22"/>
          <w:szCs w:val="22"/>
        </w:rPr>
        <w:t xml:space="preserve"> </w:t>
      </w:r>
      <w:r w:rsidR="00D240D9">
        <w:rPr>
          <w:rFonts w:eastAsia="Calibri" w:cs="Arial"/>
          <w:sz w:val="22"/>
          <w:szCs w:val="22"/>
        </w:rPr>
        <w:t>Proposal Content and Organization, Pg</w:t>
      </w:r>
      <w:r w:rsidR="00656111">
        <w:rPr>
          <w:rFonts w:eastAsia="Calibri" w:cs="Arial"/>
          <w:sz w:val="22"/>
          <w:szCs w:val="22"/>
        </w:rPr>
        <w:t>s</w:t>
      </w:r>
      <w:r w:rsidR="006E2685">
        <w:rPr>
          <w:rFonts w:eastAsia="Calibri" w:cs="Arial"/>
          <w:sz w:val="22"/>
          <w:szCs w:val="22"/>
        </w:rPr>
        <w:t>.</w:t>
      </w:r>
      <w:r w:rsidR="00D240D9">
        <w:rPr>
          <w:rFonts w:eastAsia="Calibri" w:cs="Arial"/>
          <w:sz w:val="22"/>
          <w:szCs w:val="22"/>
        </w:rPr>
        <w:t xml:space="preserve"> 40-41</w:t>
      </w:r>
    </w:p>
    <w:p w14:paraId="014A6CE7" w14:textId="34495DFA" w:rsidR="00BF6ED8" w:rsidRPr="00BF6ED8" w:rsidRDefault="00BF6ED8" w:rsidP="00BF6ED8">
      <w:pPr>
        <w:spacing w:before="240" w:line="276" w:lineRule="auto"/>
        <w:rPr>
          <w:rFonts w:cs="Arial"/>
          <w:sz w:val="22"/>
          <w:szCs w:val="22"/>
        </w:rPr>
      </w:pPr>
      <w:r w:rsidRPr="00BF6ED8">
        <w:rPr>
          <w:rFonts w:cs="Arial"/>
          <w:sz w:val="22"/>
          <w:szCs w:val="22"/>
        </w:rPr>
        <w:t>Corrected pages are attached to this document. All additions</w:t>
      </w:r>
      <w:r>
        <w:rPr>
          <w:rFonts w:cs="Arial"/>
          <w:sz w:val="22"/>
          <w:szCs w:val="22"/>
        </w:rPr>
        <w:t xml:space="preserve"> and</w:t>
      </w:r>
      <w:r w:rsidRPr="00BF6ED8">
        <w:rPr>
          <w:rFonts w:cs="Arial"/>
          <w:sz w:val="22"/>
          <w:szCs w:val="22"/>
        </w:rPr>
        <w:t xml:space="preserve"> are made in </w:t>
      </w:r>
      <w:r w:rsidRPr="00E040F3">
        <w:rPr>
          <w:rFonts w:cs="Arial"/>
          <w:color w:val="00B050"/>
          <w:sz w:val="22"/>
          <w:szCs w:val="22"/>
        </w:rPr>
        <w:t xml:space="preserve">green </w:t>
      </w:r>
      <w:r w:rsidRPr="00BF6ED8">
        <w:rPr>
          <w:rFonts w:cs="Arial"/>
          <w:sz w:val="22"/>
          <w:szCs w:val="22"/>
        </w:rPr>
        <w:t>text</w:t>
      </w:r>
      <w:r w:rsidR="00656111">
        <w:rPr>
          <w:rFonts w:cs="Arial"/>
          <w:sz w:val="22"/>
          <w:szCs w:val="22"/>
        </w:rPr>
        <w:t xml:space="preserve"> and deletions are made in </w:t>
      </w:r>
      <w:r w:rsidR="00656111" w:rsidRPr="00656111">
        <w:rPr>
          <w:rFonts w:cs="Arial"/>
          <w:color w:val="FF0000"/>
          <w:sz w:val="22"/>
          <w:szCs w:val="22"/>
        </w:rPr>
        <w:t xml:space="preserve">red </w:t>
      </w:r>
      <w:r w:rsidR="00656111">
        <w:rPr>
          <w:rFonts w:cs="Arial"/>
          <w:sz w:val="22"/>
          <w:szCs w:val="22"/>
        </w:rPr>
        <w:t>text</w:t>
      </w:r>
      <w:r w:rsidRPr="00BF6ED8">
        <w:rPr>
          <w:rFonts w:cs="Arial"/>
          <w:sz w:val="22"/>
          <w:szCs w:val="22"/>
        </w:rPr>
        <w:t>.</w:t>
      </w:r>
    </w:p>
    <w:p w14:paraId="547354D5" w14:textId="1F409976" w:rsidR="00BF6ED8" w:rsidRPr="00BF6ED8" w:rsidRDefault="00BF6ED8" w:rsidP="00BF6ED8">
      <w:pPr>
        <w:spacing w:before="240" w:line="276" w:lineRule="auto"/>
        <w:rPr>
          <w:rFonts w:cs="Arial"/>
          <w:sz w:val="22"/>
          <w:szCs w:val="22"/>
        </w:rPr>
        <w:sectPr w:rsidR="00BF6ED8" w:rsidRPr="00BF6ED8" w:rsidSect="00AE1C49">
          <w:footerReference w:type="default" r:id="rId9"/>
          <w:footerReference w:type="first" r:id="rId10"/>
          <w:pgSz w:w="12240" w:h="15840"/>
          <w:pgMar w:top="576" w:right="1440" w:bottom="1440" w:left="1440" w:header="288" w:footer="432" w:gutter="0"/>
          <w:cols w:space="720"/>
          <w:docGrid w:linePitch="360"/>
        </w:sectPr>
      </w:pPr>
      <w:r w:rsidRPr="00BF6ED8">
        <w:rPr>
          <w:rFonts w:cs="Arial"/>
          <w:sz w:val="22"/>
          <w:szCs w:val="22"/>
        </w:rPr>
        <w:t>All other requirements and conditions remain as indicated in the RFP.</w:t>
      </w:r>
    </w:p>
    <w:bookmarkEnd w:id="0"/>
    <w:tbl>
      <w:tblPr>
        <w:tblpPr w:leftFromText="180" w:rightFromText="180" w:vertAnchor="text" w:tblpX="331" w:tblpY="1"/>
        <w:tblOverlap w:val="never"/>
        <w:tblW w:w="47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89"/>
        <w:gridCol w:w="901"/>
        <w:gridCol w:w="5489"/>
        <w:gridCol w:w="5760"/>
      </w:tblGrid>
      <w:tr w:rsidR="00BC1DAD" w:rsidRPr="00BC1DAD" w14:paraId="3D5A459E" w14:textId="77777777" w:rsidTr="00EA30D0">
        <w:trPr>
          <w:trHeight w:val="530"/>
          <w:tblHeader/>
        </w:trPr>
        <w:tc>
          <w:tcPr>
            <w:tcW w:w="184" w:type="pct"/>
            <w:vMerge w:val="restart"/>
            <w:shd w:val="pct20" w:color="auto" w:fill="auto"/>
            <w:vAlign w:val="center"/>
          </w:tcPr>
          <w:p w14:paraId="33092792" w14:textId="77777777" w:rsidR="00BC1DAD" w:rsidRPr="00BC1DAD" w:rsidRDefault="00BC1DAD" w:rsidP="00EA30D0">
            <w:pPr>
              <w:spacing w:before="120" w:after="120"/>
              <w:jc w:val="center"/>
              <w:rPr>
                <w:rFonts w:cs="Arial"/>
                <w:b/>
                <w:sz w:val="22"/>
                <w:szCs w:val="22"/>
              </w:rPr>
            </w:pPr>
            <w:r w:rsidRPr="00BC1DAD">
              <w:rPr>
                <w:rFonts w:cs="Arial"/>
                <w:sz w:val="22"/>
                <w:szCs w:val="22"/>
              </w:rPr>
              <w:lastRenderedPageBreak/>
              <w:br w:type="page"/>
            </w:r>
            <w:r w:rsidRPr="00BC1DAD">
              <w:rPr>
                <w:rFonts w:cs="Arial"/>
                <w:b/>
                <w:sz w:val="22"/>
                <w:szCs w:val="22"/>
              </w:rPr>
              <w:t>#</w:t>
            </w:r>
          </w:p>
        </w:tc>
        <w:tc>
          <w:tcPr>
            <w:tcW w:w="957" w:type="pct"/>
            <w:gridSpan w:val="2"/>
            <w:tcBorders>
              <w:bottom w:val="single" w:sz="8" w:space="0" w:color="000000"/>
            </w:tcBorders>
            <w:shd w:val="pct20" w:color="auto" w:fill="auto"/>
            <w:vAlign w:val="center"/>
          </w:tcPr>
          <w:p w14:paraId="13083C81" w14:textId="5D1190EE" w:rsidR="00E040F3" w:rsidRPr="00BC1DAD" w:rsidRDefault="00BC1DAD" w:rsidP="00E040F3">
            <w:pPr>
              <w:spacing w:before="120" w:after="120"/>
              <w:jc w:val="center"/>
              <w:rPr>
                <w:rFonts w:cs="Arial"/>
                <w:b/>
                <w:sz w:val="22"/>
                <w:szCs w:val="22"/>
              </w:rPr>
            </w:pPr>
            <w:r w:rsidRPr="00BC1DAD">
              <w:rPr>
                <w:rFonts w:cs="Arial"/>
                <w:b/>
                <w:sz w:val="22"/>
                <w:szCs w:val="22"/>
              </w:rPr>
              <w:t>RFP Reference</w:t>
            </w:r>
          </w:p>
        </w:tc>
        <w:tc>
          <w:tcPr>
            <w:tcW w:w="1883" w:type="pct"/>
            <w:vMerge w:val="restart"/>
            <w:shd w:val="pct20" w:color="auto" w:fill="auto"/>
            <w:vAlign w:val="center"/>
          </w:tcPr>
          <w:p w14:paraId="01D0C249" w14:textId="77777777" w:rsidR="00BC1DAD" w:rsidRPr="00BC1DAD" w:rsidRDefault="00BC1DAD" w:rsidP="00EA30D0">
            <w:pPr>
              <w:spacing w:before="120" w:after="120"/>
              <w:jc w:val="center"/>
              <w:rPr>
                <w:rFonts w:cs="Arial"/>
                <w:b/>
                <w:sz w:val="22"/>
                <w:szCs w:val="22"/>
              </w:rPr>
            </w:pPr>
            <w:r w:rsidRPr="00BC1DAD">
              <w:rPr>
                <w:rFonts w:cs="Arial"/>
                <w:b/>
                <w:sz w:val="22"/>
                <w:szCs w:val="22"/>
              </w:rPr>
              <w:t>Question</w:t>
            </w:r>
          </w:p>
        </w:tc>
        <w:tc>
          <w:tcPr>
            <w:tcW w:w="1976" w:type="pct"/>
            <w:vMerge w:val="restart"/>
            <w:shd w:val="pct20" w:color="auto" w:fill="auto"/>
            <w:vAlign w:val="center"/>
          </w:tcPr>
          <w:p w14:paraId="40BA123B" w14:textId="77777777" w:rsidR="00BC1DAD" w:rsidRPr="00997BB9" w:rsidRDefault="00BC1DAD" w:rsidP="00EA30D0">
            <w:pPr>
              <w:spacing w:before="120" w:after="120"/>
              <w:jc w:val="center"/>
              <w:rPr>
                <w:rFonts w:cs="Arial"/>
                <w:b/>
                <w:sz w:val="22"/>
                <w:szCs w:val="22"/>
              </w:rPr>
            </w:pPr>
            <w:r w:rsidRPr="00997BB9">
              <w:rPr>
                <w:rFonts w:cs="Arial"/>
                <w:b/>
                <w:sz w:val="22"/>
                <w:szCs w:val="22"/>
              </w:rPr>
              <w:t>Answer</w:t>
            </w:r>
          </w:p>
        </w:tc>
      </w:tr>
      <w:tr w:rsidR="007412FB" w:rsidRPr="00BC1DAD" w14:paraId="24B89875" w14:textId="77777777" w:rsidTr="006E2685">
        <w:trPr>
          <w:tblHeader/>
        </w:trPr>
        <w:tc>
          <w:tcPr>
            <w:tcW w:w="184" w:type="pct"/>
            <w:vMerge/>
            <w:tcBorders>
              <w:bottom w:val="single" w:sz="8" w:space="0" w:color="000000"/>
            </w:tcBorders>
            <w:shd w:val="pct20" w:color="auto" w:fill="auto"/>
            <w:vAlign w:val="center"/>
          </w:tcPr>
          <w:p w14:paraId="06508DDA" w14:textId="77777777" w:rsidR="00BC1DAD" w:rsidRPr="00BC1DAD" w:rsidRDefault="00BC1DAD" w:rsidP="00EA30D0">
            <w:pPr>
              <w:spacing w:before="120" w:after="120"/>
              <w:jc w:val="center"/>
              <w:rPr>
                <w:rFonts w:cs="Arial"/>
                <w:sz w:val="22"/>
                <w:szCs w:val="22"/>
              </w:rPr>
            </w:pPr>
          </w:p>
        </w:tc>
        <w:tc>
          <w:tcPr>
            <w:tcW w:w="648" w:type="pct"/>
            <w:tcBorders>
              <w:bottom w:val="single" w:sz="8" w:space="0" w:color="000000"/>
            </w:tcBorders>
            <w:shd w:val="pct20" w:color="auto" w:fill="auto"/>
            <w:vAlign w:val="center"/>
          </w:tcPr>
          <w:p w14:paraId="5B5E89E2" w14:textId="240FC1B0" w:rsidR="00BC1DAD" w:rsidRPr="00BC1DAD" w:rsidRDefault="00BC1DAD" w:rsidP="00EA30D0">
            <w:pPr>
              <w:spacing w:before="120" w:after="120"/>
              <w:jc w:val="center"/>
              <w:rPr>
                <w:rFonts w:cs="Arial"/>
                <w:b/>
                <w:sz w:val="22"/>
                <w:szCs w:val="22"/>
              </w:rPr>
            </w:pPr>
            <w:r w:rsidRPr="00BC1DAD">
              <w:rPr>
                <w:rFonts w:cs="Arial"/>
                <w:b/>
                <w:sz w:val="22"/>
                <w:szCs w:val="22"/>
              </w:rPr>
              <w:t>Section</w:t>
            </w:r>
          </w:p>
        </w:tc>
        <w:tc>
          <w:tcPr>
            <w:tcW w:w="309" w:type="pct"/>
            <w:tcBorders>
              <w:bottom w:val="single" w:sz="8" w:space="0" w:color="000000"/>
            </w:tcBorders>
            <w:shd w:val="pct20" w:color="auto" w:fill="auto"/>
            <w:vAlign w:val="center"/>
          </w:tcPr>
          <w:p w14:paraId="54DC8AF4" w14:textId="3067ABE2" w:rsidR="00BC1DAD" w:rsidRPr="00EA30D0" w:rsidRDefault="00BC1DAD" w:rsidP="00EA30D0">
            <w:pPr>
              <w:spacing w:before="120" w:after="120"/>
              <w:jc w:val="center"/>
              <w:rPr>
                <w:rFonts w:cs="Arial"/>
                <w:b/>
                <w:sz w:val="20"/>
                <w:szCs w:val="20"/>
              </w:rPr>
            </w:pPr>
            <w:r w:rsidRPr="00EA30D0">
              <w:rPr>
                <w:rFonts w:cs="Arial"/>
                <w:b/>
                <w:sz w:val="20"/>
                <w:szCs w:val="20"/>
              </w:rPr>
              <w:t>Page</w:t>
            </w:r>
          </w:p>
        </w:tc>
        <w:tc>
          <w:tcPr>
            <w:tcW w:w="1883" w:type="pct"/>
            <w:vMerge/>
            <w:tcBorders>
              <w:bottom w:val="single" w:sz="8" w:space="0" w:color="000000"/>
            </w:tcBorders>
            <w:shd w:val="pct20" w:color="auto" w:fill="auto"/>
            <w:vAlign w:val="center"/>
          </w:tcPr>
          <w:p w14:paraId="396EECA7" w14:textId="77777777" w:rsidR="00BC1DAD" w:rsidRPr="00BC1DAD" w:rsidRDefault="00BC1DAD" w:rsidP="00EA30D0">
            <w:pPr>
              <w:spacing w:before="120" w:after="120"/>
              <w:jc w:val="center"/>
              <w:rPr>
                <w:rFonts w:cs="Arial"/>
                <w:b/>
                <w:sz w:val="22"/>
                <w:szCs w:val="22"/>
              </w:rPr>
            </w:pPr>
          </w:p>
        </w:tc>
        <w:tc>
          <w:tcPr>
            <w:tcW w:w="1976" w:type="pct"/>
            <w:vMerge/>
            <w:tcBorders>
              <w:bottom w:val="single" w:sz="8" w:space="0" w:color="000000"/>
            </w:tcBorders>
            <w:shd w:val="pct20" w:color="auto" w:fill="auto"/>
            <w:vAlign w:val="center"/>
          </w:tcPr>
          <w:p w14:paraId="6F798A39" w14:textId="77777777" w:rsidR="00BC1DAD" w:rsidRPr="00997BB9" w:rsidRDefault="00BC1DAD" w:rsidP="00EA30D0">
            <w:pPr>
              <w:spacing w:before="120" w:after="120"/>
              <w:jc w:val="center"/>
              <w:rPr>
                <w:rFonts w:cs="Arial"/>
                <w:b/>
                <w:sz w:val="22"/>
                <w:szCs w:val="22"/>
              </w:rPr>
            </w:pPr>
          </w:p>
        </w:tc>
      </w:tr>
      <w:tr w:rsidR="007412FB" w:rsidRPr="00BC1DAD" w14:paraId="04D6E25A"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B2D8342" w14:textId="77777777" w:rsidR="00BC1DAD" w:rsidRPr="00BC1DAD" w:rsidRDefault="00BC1DAD" w:rsidP="00EA30D0">
            <w:pPr>
              <w:spacing w:before="120" w:after="120"/>
              <w:jc w:val="center"/>
              <w:rPr>
                <w:rFonts w:cs="Arial"/>
                <w:sz w:val="22"/>
                <w:szCs w:val="22"/>
              </w:rPr>
            </w:pPr>
            <w:r w:rsidRPr="00BC1DAD">
              <w:rPr>
                <w:rFonts w:cs="Arial"/>
                <w:sz w:val="22"/>
                <w:szCs w:val="22"/>
              </w:rPr>
              <w:t>1</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71BBEA92" w14:textId="1C46F461" w:rsidR="00BC1DAD"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 xml:space="preserve">1.4. </w:t>
            </w:r>
          </w:p>
          <w:p w14:paraId="2C11520B" w14:textId="310A4313" w:rsidR="00BC1DAD" w:rsidRPr="00BC1DAD" w:rsidRDefault="00BC1DAD" w:rsidP="00EA30D0">
            <w:pPr>
              <w:spacing w:before="120" w:after="120"/>
              <w:rPr>
                <w:rFonts w:cs="Arial"/>
                <w:sz w:val="20"/>
                <w:szCs w:val="20"/>
              </w:rPr>
            </w:pPr>
            <w:r w:rsidRPr="00BC1DAD">
              <w:rPr>
                <w:rFonts w:cs="Arial"/>
                <w:sz w:val="20"/>
                <w:szCs w:val="20"/>
              </w:rPr>
              <w:t>Scope of Services</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2F854C62" w14:textId="226F6A07" w:rsidR="00BC1DAD" w:rsidRPr="00BC1DAD" w:rsidRDefault="00BC1DAD" w:rsidP="00EA30D0">
            <w:pPr>
              <w:spacing w:before="120" w:after="120"/>
              <w:jc w:val="center"/>
              <w:rPr>
                <w:rFonts w:cs="Arial"/>
                <w:sz w:val="22"/>
                <w:szCs w:val="22"/>
              </w:rPr>
            </w:pPr>
            <w:r>
              <w:rPr>
                <w:rFonts w:cs="Arial"/>
                <w:sz w:val="22"/>
                <w:szCs w:val="22"/>
              </w:rPr>
              <w:t>11-</w:t>
            </w:r>
            <w:r w:rsidRPr="00BC1DAD">
              <w:rPr>
                <w:rFonts w:cs="Arial"/>
                <w:sz w:val="22"/>
                <w:szCs w:val="22"/>
              </w:rPr>
              <w:t>12</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38FB83AD" w14:textId="1D9F0F77" w:rsidR="00BC1DAD" w:rsidRPr="00BC1DAD" w:rsidRDefault="00BC1DAD" w:rsidP="00EA30D0">
            <w:pPr>
              <w:spacing w:before="120" w:after="120"/>
              <w:rPr>
                <w:rFonts w:cs="Arial"/>
                <w:sz w:val="22"/>
                <w:szCs w:val="22"/>
              </w:rPr>
            </w:pPr>
            <w:r w:rsidRPr="00BC1DAD">
              <w:rPr>
                <w:rFonts w:cs="Arial"/>
                <w:sz w:val="22"/>
                <w:szCs w:val="22"/>
              </w:rPr>
              <w:t>The RFP states “The Department will expect the Contractor to provide attorneys, if determined necessary by the Department, to respond to legal issues brought to this program by attorneys of the FIs.”</w:t>
            </w:r>
          </w:p>
          <w:p w14:paraId="61091AAE" w14:textId="7A210E6F" w:rsidR="00BC1DAD" w:rsidRPr="00BC1DAD" w:rsidRDefault="00BC1DAD" w:rsidP="00EA30D0">
            <w:pPr>
              <w:spacing w:before="120" w:after="120"/>
              <w:rPr>
                <w:rFonts w:cs="Arial"/>
                <w:sz w:val="22"/>
                <w:szCs w:val="22"/>
              </w:rPr>
            </w:pPr>
            <w:r w:rsidRPr="00BC1DAD">
              <w:rPr>
                <w:rFonts w:cs="Arial"/>
                <w:sz w:val="22"/>
                <w:szCs w:val="22"/>
              </w:rPr>
              <w:t xml:space="preserve">Will the State be willing to strike this provision as the Contractor is designated by the Commissioner as a vehicle to facilitate the FIDM process and therefore Contractor lacks the legal authority the State has to enforce participation in the FIDM program? </w:t>
            </w:r>
          </w:p>
          <w:p w14:paraId="3551772E" w14:textId="77777777" w:rsidR="00BC1DAD" w:rsidRPr="00BC1DAD" w:rsidRDefault="00BC1DAD" w:rsidP="00EA30D0">
            <w:pPr>
              <w:spacing w:before="120" w:after="120"/>
              <w:rPr>
                <w:rFonts w:cs="Arial"/>
                <w:sz w:val="22"/>
                <w:szCs w:val="22"/>
              </w:rPr>
            </w:pPr>
            <w:r w:rsidRPr="00BC1DAD">
              <w:rPr>
                <w:rFonts w:cs="Arial"/>
                <w:sz w:val="22"/>
                <w:szCs w:val="22"/>
              </w:rPr>
              <w:t>Additionally, will the State’s attorneys be involved in this process? What criteria will the State use in determining necessity?</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28DAC5AE" w14:textId="08DBAF92" w:rsidR="00BC1DAD" w:rsidRPr="00997BB9" w:rsidRDefault="00382AD9" w:rsidP="00EA30D0">
            <w:pPr>
              <w:spacing w:before="120" w:after="120"/>
              <w:rPr>
                <w:rFonts w:cs="Arial"/>
                <w:b/>
                <w:bCs/>
                <w:sz w:val="22"/>
                <w:szCs w:val="22"/>
              </w:rPr>
            </w:pPr>
            <w:r w:rsidRPr="00997BB9">
              <w:rPr>
                <w:rFonts w:cs="Arial"/>
                <w:b/>
                <w:bCs/>
                <w:sz w:val="22"/>
                <w:szCs w:val="22"/>
              </w:rPr>
              <w:t>No. The State will not strike this provision.</w:t>
            </w:r>
          </w:p>
          <w:p w14:paraId="14D951E0" w14:textId="7026C674" w:rsidR="00382AD9" w:rsidRPr="00997BB9" w:rsidRDefault="00382AD9" w:rsidP="00EA30D0">
            <w:pPr>
              <w:spacing w:before="120" w:after="120"/>
              <w:rPr>
                <w:rFonts w:cs="Arial"/>
                <w:b/>
                <w:bCs/>
                <w:sz w:val="22"/>
                <w:szCs w:val="22"/>
              </w:rPr>
            </w:pPr>
          </w:p>
          <w:p w14:paraId="1A98464E" w14:textId="4A3E2131" w:rsidR="00382AD9" w:rsidRPr="00997BB9" w:rsidRDefault="00382AD9" w:rsidP="00EA30D0">
            <w:pPr>
              <w:spacing w:before="120" w:after="120"/>
              <w:rPr>
                <w:rFonts w:cs="Arial"/>
                <w:b/>
                <w:bCs/>
                <w:sz w:val="22"/>
                <w:szCs w:val="22"/>
              </w:rPr>
            </w:pPr>
            <w:r w:rsidRPr="00997BB9">
              <w:rPr>
                <w:rFonts w:cs="Arial"/>
                <w:b/>
                <w:bCs/>
                <w:sz w:val="22"/>
                <w:szCs w:val="22"/>
              </w:rPr>
              <w:t xml:space="preserve">Yes, the State's attorneys will be involved. The Contractor's attorneys may reasonably be asked to advise on eligibility and legal requirements concerning participation in the program, as well as protection and security of taxpayer and client data.  The State will use its attorneys to assist in resolving issues through oral communication and writing.  </w:t>
            </w:r>
          </w:p>
          <w:p w14:paraId="545610FF" w14:textId="6988315E" w:rsidR="00BC1DAD" w:rsidRPr="00997BB9" w:rsidRDefault="00BC1DAD" w:rsidP="00EA30D0">
            <w:pPr>
              <w:spacing w:before="120" w:after="120"/>
              <w:rPr>
                <w:rFonts w:cs="Arial"/>
                <w:b/>
                <w:bCs/>
                <w:sz w:val="22"/>
                <w:szCs w:val="22"/>
              </w:rPr>
            </w:pPr>
          </w:p>
        </w:tc>
      </w:tr>
      <w:tr w:rsidR="007412FB" w:rsidRPr="00BC1DAD" w14:paraId="78115218"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2B656C2" w14:textId="77777777" w:rsidR="00BC1DAD" w:rsidRPr="00BC1DAD" w:rsidRDefault="00BC1DAD" w:rsidP="00EA30D0">
            <w:pPr>
              <w:spacing w:before="120" w:after="120"/>
              <w:jc w:val="center"/>
              <w:rPr>
                <w:rFonts w:cs="Arial"/>
                <w:sz w:val="22"/>
                <w:szCs w:val="22"/>
              </w:rPr>
            </w:pPr>
            <w:r w:rsidRPr="00BC1DAD">
              <w:rPr>
                <w:rFonts w:cs="Arial"/>
                <w:sz w:val="22"/>
                <w:szCs w:val="22"/>
              </w:rPr>
              <w:t>2</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15CE93D6" w14:textId="471D75CB" w:rsidR="00BC1DAD"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 xml:space="preserve">3.1. </w:t>
            </w:r>
          </w:p>
          <w:p w14:paraId="682B35ED" w14:textId="6908E88F" w:rsidR="00BC1DAD" w:rsidRPr="00BC1DAD" w:rsidRDefault="00BC1DAD" w:rsidP="00EA30D0">
            <w:pPr>
              <w:spacing w:before="120" w:after="120"/>
              <w:rPr>
                <w:rFonts w:cs="Arial"/>
                <w:sz w:val="20"/>
                <w:szCs w:val="20"/>
              </w:rPr>
            </w:pPr>
            <w:r w:rsidRPr="00BC1DAD">
              <w:rPr>
                <w:rFonts w:cs="Arial"/>
                <w:sz w:val="20"/>
                <w:szCs w:val="20"/>
              </w:rPr>
              <w:t>Bidder Experience and Reference Requirements</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5CC0C30D" w14:textId="77777777" w:rsidR="00BC1DAD" w:rsidRPr="00BC1DAD" w:rsidRDefault="00BC1DAD" w:rsidP="00EA30D0">
            <w:pPr>
              <w:spacing w:before="120" w:after="120"/>
              <w:jc w:val="center"/>
              <w:rPr>
                <w:rFonts w:cs="Arial"/>
                <w:sz w:val="22"/>
                <w:szCs w:val="22"/>
              </w:rPr>
            </w:pPr>
            <w:r w:rsidRPr="00BC1DAD">
              <w:rPr>
                <w:rFonts w:cs="Arial"/>
                <w:sz w:val="22"/>
                <w:szCs w:val="22"/>
              </w:rPr>
              <w:t>14</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440BE69C" w14:textId="77777777" w:rsidR="00BC1DAD" w:rsidRPr="00BC1DAD" w:rsidRDefault="00BC1DAD" w:rsidP="00EA30D0">
            <w:pPr>
              <w:spacing w:before="120" w:after="120"/>
              <w:rPr>
                <w:rFonts w:cs="Arial"/>
                <w:sz w:val="22"/>
                <w:szCs w:val="22"/>
              </w:rPr>
            </w:pPr>
            <w:r w:rsidRPr="00BC1DAD">
              <w:rPr>
                <w:rFonts w:cs="Arial"/>
                <w:sz w:val="22"/>
                <w:szCs w:val="22"/>
              </w:rPr>
              <w:t>Please confirm that Attachment B should be submitted in Volume One, Tab 2 of our response as indicated in the Bidder’s Checklist and not in Tab 3 Technical Requirements as listed in the RFP on page 14.</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2A5E207E" w14:textId="77777777" w:rsidR="00BC1DAD" w:rsidRPr="00997BB9" w:rsidRDefault="00BC1DAD" w:rsidP="00EA30D0">
            <w:pPr>
              <w:spacing w:before="120" w:after="120"/>
              <w:rPr>
                <w:rFonts w:cs="Arial"/>
                <w:b/>
                <w:bCs/>
                <w:sz w:val="22"/>
                <w:szCs w:val="22"/>
              </w:rPr>
            </w:pPr>
            <w:r w:rsidRPr="00997BB9">
              <w:rPr>
                <w:rFonts w:cs="Arial"/>
                <w:b/>
                <w:bCs/>
                <w:sz w:val="22"/>
                <w:szCs w:val="22"/>
              </w:rPr>
              <w:t>Attachment B – Experience and Reference Response Form, should be submitted in Volume One, Tab 2.</w:t>
            </w:r>
          </w:p>
        </w:tc>
      </w:tr>
      <w:tr w:rsidR="007412FB" w:rsidRPr="00BC1DAD" w14:paraId="7C0807D8"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B875822" w14:textId="77777777" w:rsidR="00BC1DAD" w:rsidRPr="00BC1DAD" w:rsidRDefault="00BC1DAD" w:rsidP="00EA30D0">
            <w:pPr>
              <w:spacing w:before="120" w:after="120"/>
              <w:jc w:val="center"/>
              <w:rPr>
                <w:rFonts w:cs="Arial"/>
                <w:sz w:val="22"/>
                <w:szCs w:val="22"/>
              </w:rPr>
            </w:pPr>
            <w:r w:rsidRPr="00BC1DAD">
              <w:rPr>
                <w:rFonts w:cs="Arial"/>
                <w:sz w:val="22"/>
                <w:szCs w:val="22"/>
              </w:rPr>
              <w:t>3</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365B5642" w14:textId="503CD592" w:rsidR="00BC1DAD"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 xml:space="preserve">3.3. </w:t>
            </w:r>
          </w:p>
          <w:p w14:paraId="224CDC1B" w14:textId="1A51273F" w:rsidR="00BC1DAD" w:rsidRPr="00BC1DAD" w:rsidRDefault="00BC1DAD" w:rsidP="00EA30D0">
            <w:pPr>
              <w:spacing w:before="120" w:after="120"/>
              <w:rPr>
                <w:rFonts w:cs="Arial"/>
                <w:sz w:val="20"/>
                <w:szCs w:val="20"/>
              </w:rPr>
            </w:pPr>
            <w:r w:rsidRPr="00BC1DAD">
              <w:rPr>
                <w:rFonts w:cs="Arial"/>
                <w:sz w:val="20"/>
                <w:szCs w:val="20"/>
              </w:rPr>
              <w:t>Outreach Plan</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79A4C3C8" w14:textId="77777777" w:rsidR="00BC1DAD" w:rsidRPr="00BC1DAD" w:rsidRDefault="00BC1DAD" w:rsidP="00EA30D0">
            <w:pPr>
              <w:spacing w:before="120" w:after="120"/>
              <w:jc w:val="center"/>
              <w:rPr>
                <w:rFonts w:cs="Arial"/>
                <w:sz w:val="22"/>
                <w:szCs w:val="22"/>
              </w:rPr>
            </w:pPr>
            <w:r w:rsidRPr="00BC1DAD">
              <w:rPr>
                <w:rFonts w:cs="Arial"/>
                <w:sz w:val="22"/>
                <w:szCs w:val="22"/>
              </w:rPr>
              <w:t>15</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7EFC3082" w14:textId="77777777" w:rsidR="00BC1DAD" w:rsidRPr="00BC1DAD" w:rsidRDefault="00BC1DAD" w:rsidP="00EA30D0">
            <w:pPr>
              <w:spacing w:before="120" w:after="120"/>
              <w:rPr>
                <w:rFonts w:cs="Arial"/>
                <w:sz w:val="22"/>
                <w:szCs w:val="22"/>
              </w:rPr>
            </w:pPr>
            <w:r w:rsidRPr="00BC1DAD">
              <w:rPr>
                <w:rFonts w:cs="Arial"/>
                <w:sz w:val="22"/>
                <w:szCs w:val="22"/>
              </w:rPr>
              <w:t>Will NYS DTF require new agreements to be executed for all existing FIs participating in the program, or will agreements only need to be obtained for those not participating in the current program?</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64134D19" w14:textId="1927DCC0" w:rsidR="00BC1DAD" w:rsidRPr="00997BB9" w:rsidRDefault="00BC1DAD" w:rsidP="00EA30D0">
            <w:pPr>
              <w:spacing w:before="120" w:after="120"/>
              <w:rPr>
                <w:rFonts w:cs="Arial"/>
                <w:b/>
                <w:bCs/>
                <w:sz w:val="22"/>
                <w:szCs w:val="22"/>
              </w:rPr>
            </w:pPr>
            <w:r w:rsidRPr="00997BB9">
              <w:rPr>
                <w:rFonts w:cs="Arial"/>
                <w:b/>
                <w:bCs/>
                <w:sz w:val="22"/>
                <w:szCs w:val="22"/>
              </w:rPr>
              <w:t xml:space="preserve">As of this writing, we do not anticipate needing to replace existing agreements which are in place between </w:t>
            </w:r>
            <w:r w:rsidR="006E2685">
              <w:rPr>
                <w:rFonts w:cs="Arial"/>
                <w:b/>
                <w:bCs/>
                <w:sz w:val="22"/>
                <w:szCs w:val="22"/>
              </w:rPr>
              <w:t>the Department</w:t>
            </w:r>
            <w:r w:rsidRPr="00997BB9">
              <w:rPr>
                <w:rFonts w:cs="Arial"/>
                <w:b/>
                <w:bCs/>
                <w:sz w:val="22"/>
                <w:szCs w:val="22"/>
              </w:rPr>
              <w:t xml:space="preserve"> and current FIDM participants. However, we reserve the right to require that new agreements be obtained from currently participating FIs should there become a need to do so. </w:t>
            </w:r>
          </w:p>
          <w:p w14:paraId="288400E7" w14:textId="77777777" w:rsidR="00BC1DAD" w:rsidRDefault="00BC1DAD" w:rsidP="00EA30D0">
            <w:pPr>
              <w:spacing w:before="120" w:after="120"/>
              <w:rPr>
                <w:rFonts w:cs="Arial"/>
                <w:b/>
                <w:bCs/>
                <w:sz w:val="22"/>
                <w:szCs w:val="22"/>
              </w:rPr>
            </w:pPr>
            <w:r w:rsidRPr="00997BB9">
              <w:rPr>
                <w:rFonts w:cs="Arial"/>
                <w:b/>
                <w:bCs/>
                <w:sz w:val="22"/>
                <w:szCs w:val="22"/>
              </w:rPr>
              <w:t xml:space="preserve">New agreements will continue to be required for each new participant onboarded for the duration of the contract. </w:t>
            </w:r>
          </w:p>
          <w:p w14:paraId="5A17B91F" w14:textId="77777777" w:rsidR="00E040F3" w:rsidRDefault="00E040F3" w:rsidP="00EA30D0">
            <w:pPr>
              <w:spacing w:before="120" w:after="120"/>
              <w:rPr>
                <w:rFonts w:cs="Arial"/>
                <w:b/>
                <w:bCs/>
                <w:sz w:val="22"/>
                <w:szCs w:val="22"/>
              </w:rPr>
            </w:pPr>
          </w:p>
          <w:p w14:paraId="2BDDEE34" w14:textId="74396D01" w:rsidR="00120E80" w:rsidRPr="00120E80" w:rsidRDefault="00120E80" w:rsidP="00120E80">
            <w:pPr>
              <w:jc w:val="right"/>
              <w:rPr>
                <w:rFonts w:cs="Arial"/>
                <w:sz w:val="22"/>
                <w:szCs w:val="22"/>
              </w:rPr>
            </w:pPr>
          </w:p>
        </w:tc>
      </w:tr>
      <w:tr w:rsidR="007412FB" w:rsidRPr="00BC1DAD" w14:paraId="138BF096"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5B21EA32" w14:textId="77777777" w:rsidR="00BC1DAD" w:rsidRPr="00BC1DAD" w:rsidRDefault="00BC1DAD" w:rsidP="00EA30D0">
            <w:pPr>
              <w:spacing w:before="120" w:after="120"/>
              <w:jc w:val="center"/>
              <w:rPr>
                <w:rFonts w:cs="Arial"/>
                <w:sz w:val="22"/>
                <w:szCs w:val="22"/>
              </w:rPr>
            </w:pPr>
            <w:r w:rsidRPr="00BC1DAD">
              <w:rPr>
                <w:rFonts w:cs="Arial"/>
                <w:sz w:val="22"/>
                <w:szCs w:val="22"/>
              </w:rPr>
              <w:lastRenderedPageBreak/>
              <w:t>4</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3E67076C" w14:textId="48DA204C" w:rsidR="00382AD9"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5.2</w:t>
            </w:r>
            <w:r w:rsidR="00382AD9" w:rsidRPr="007412FB">
              <w:rPr>
                <w:rFonts w:cs="Arial"/>
                <w:b/>
                <w:bCs/>
                <w:sz w:val="20"/>
                <w:szCs w:val="20"/>
              </w:rPr>
              <w:t>.</w:t>
            </w:r>
          </w:p>
          <w:p w14:paraId="3F225C67" w14:textId="41C5053F" w:rsidR="00BC1DAD" w:rsidRPr="00BC1DAD" w:rsidRDefault="00BC1DAD" w:rsidP="00EA30D0">
            <w:pPr>
              <w:spacing w:before="120" w:after="120"/>
              <w:rPr>
                <w:rFonts w:cs="Arial"/>
                <w:sz w:val="20"/>
                <w:szCs w:val="20"/>
              </w:rPr>
            </w:pPr>
            <w:r w:rsidRPr="00BC1DAD">
              <w:rPr>
                <w:rFonts w:cs="Arial"/>
                <w:sz w:val="20"/>
                <w:szCs w:val="20"/>
              </w:rPr>
              <w:t>Quarterly Match Fee</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243FA5E6" w14:textId="77777777" w:rsidR="00BC1DAD" w:rsidRPr="00BC1DAD" w:rsidRDefault="00BC1DAD" w:rsidP="00EA30D0">
            <w:pPr>
              <w:spacing w:before="120" w:after="120"/>
              <w:jc w:val="center"/>
              <w:rPr>
                <w:rFonts w:cs="Arial"/>
                <w:sz w:val="22"/>
                <w:szCs w:val="22"/>
              </w:rPr>
            </w:pPr>
            <w:r w:rsidRPr="00BC1DAD">
              <w:rPr>
                <w:rFonts w:cs="Arial"/>
                <w:sz w:val="22"/>
                <w:szCs w:val="22"/>
              </w:rPr>
              <w:t>21</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0C86CC1D" w14:textId="77777777" w:rsidR="00BC1DAD" w:rsidRPr="00BC1DAD" w:rsidRDefault="00BC1DAD" w:rsidP="00EA30D0">
            <w:pPr>
              <w:spacing w:before="120" w:after="120"/>
              <w:rPr>
                <w:rFonts w:cs="Arial"/>
                <w:sz w:val="22"/>
                <w:szCs w:val="22"/>
              </w:rPr>
            </w:pPr>
            <w:r w:rsidRPr="00BC1DAD">
              <w:rPr>
                <w:rFonts w:cs="Arial"/>
                <w:sz w:val="22"/>
                <w:szCs w:val="22"/>
              </w:rPr>
              <w:t xml:space="preserve">Given that there is still a cost to the vendor to match a file with an FI that has zero records, such as maintaining file transfer methods, technical support to the FI, file processing time, compliance efforts, etc., would the state be willing to remove the requirement of non-payment for these FIs?  </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2CFD7C07" w14:textId="02B67F34" w:rsidR="00BC1DAD" w:rsidRPr="00997BB9" w:rsidRDefault="00BC1DAD" w:rsidP="00EA30D0">
            <w:pPr>
              <w:spacing w:before="120" w:after="120"/>
              <w:rPr>
                <w:rFonts w:cs="Arial"/>
                <w:b/>
                <w:bCs/>
                <w:sz w:val="22"/>
                <w:szCs w:val="22"/>
              </w:rPr>
            </w:pPr>
            <w:r w:rsidRPr="00997BB9">
              <w:rPr>
                <w:rFonts w:cs="Arial"/>
                <w:b/>
                <w:bCs/>
                <w:sz w:val="22"/>
                <w:szCs w:val="22"/>
              </w:rPr>
              <w:t xml:space="preserve">No, the State will not remove the requirement of non-payment for these FIs. All costs associated with the requirements of the RFP must be incorporated into the Bidder’s financial response. Bidders must provide all pricing information requested on Attachment 19, Financial Response Form, and should not modify or change the Attachment.  </w:t>
            </w:r>
          </w:p>
        </w:tc>
      </w:tr>
      <w:tr w:rsidR="007412FB" w:rsidRPr="00BC1DAD" w14:paraId="3FAB8264"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7A996E60" w14:textId="77777777" w:rsidR="00BC1DAD" w:rsidRPr="00BC1DAD" w:rsidRDefault="00BC1DAD" w:rsidP="00EA30D0">
            <w:pPr>
              <w:spacing w:before="120" w:after="120"/>
              <w:jc w:val="center"/>
              <w:rPr>
                <w:rFonts w:cs="Arial"/>
                <w:sz w:val="22"/>
                <w:szCs w:val="22"/>
              </w:rPr>
            </w:pPr>
            <w:r w:rsidRPr="00BC1DAD">
              <w:rPr>
                <w:rFonts w:cs="Arial"/>
                <w:sz w:val="22"/>
                <w:szCs w:val="22"/>
              </w:rPr>
              <w:t>5</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4958648E" w14:textId="7315F0C7" w:rsidR="00382AD9"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6.2.6</w:t>
            </w:r>
            <w:r w:rsidR="00382AD9" w:rsidRPr="007412FB">
              <w:rPr>
                <w:rFonts w:cs="Arial"/>
                <w:b/>
                <w:bCs/>
                <w:sz w:val="20"/>
                <w:szCs w:val="20"/>
              </w:rPr>
              <w:t>.</w:t>
            </w:r>
          </w:p>
          <w:p w14:paraId="6B2C4871" w14:textId="4EA5CA8D" w:rsidR="00BC1DAD" w:rsidRPr="00BC1DAD" w:rsidRDefault="00BC1DAD" w:rsidP="00EA30D0">
            <w:pPr>
              <w:spacing w:before="120" w:after="120"/>
              <w:rPr>
                <w:rFonts w:cs="Arial"/>
                <w:sz w:val="20"/>
                <w:szCs w:val="20"/>
              </w:rPr>
            </w:pPr>
            <w:r w:rsidRPr="00BC1DAD">
              <w:rPr>
                <w:rFonts w:cs="Arial"/>
                <w:sz w:val="20"/>
                <w:szCs w:val="20"/>
              </w:rPr>
              <w:t>Equal Employment Opportunity Requirements</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1CE402BA" w14:textId="77777777" w:rsidR="00BC1DAD" w:rsidRPr="00BC1DAD" w:rsidRDefault="00BC1DAD" w:rsidP="00EA30D0">
            <w:pPr>
              <w:spacing w:before="120" w:after="120"/>
              <w:jc w:val="center"/>
              <w:rPr>
                <w:rFonts w:cs="Arial"/>
                <w:sz w:val="22"/>
                <w:szCs w:val="22"/>
              </w:rPr>
            </w:pPr>
            <w:r w:rsidRPr="00BC1DAD">
              <w:rPr>
                <w:rFonts w:cs="Arial"/>
                <w:sz w:val="22"/>
                <w:szCs w:val="22"/>
              </w:rPr>
              <w:t>29</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229F8753" w14:textId="5D174328" w:rsidR="00EA30D0" w:rsidRPr="00BC1DAD" w:rsidRDefault="00BC1DAD" w:rsidP="00EA30D0">
            <w:pPr>
              <w:spacing w:before="120" w:after="120"/>
              <w:rPr>
                <w:rFonts w:cs="Arial"/>
                <w:sz w:val="22"/>
                <w:szCs w:val="22"/>
              </w:rPr>
            </w:pPr>
            <w:r w:rsidRPr="00BC1DAD">
              <w:rPr>
                <w:rFonts w:cs="Arial"/>
                <w:sz w:val="22"/>
                <w:szCs w:val="22"/>
              </w:rPr>
              <w:t>The RFP states “This requirement does not apply to: (i) work, goods, or services unrelated to the Contract; or (ii) employment outside New York State.”</w:t>
            </w:r>
          </w:p>
          <w:p w14:paraId="35F80A34" w14:textId="77777777" w:rsidR="00BC1DAD" w:rsidRPr="00BC1DAD" w:rsidRDefault="00BC1DAD" w:rsidP="00EA30D0">
            <w:pPr>
              <w:spacing w:before="120" w:after="120"/>
              <w:rPr>
                <w:rFonts w:cs="Arial"/>
                <w:sz w:val="22"/>
                <w:szCs w:val="22"/>
              </w:rPr>
            </w:pPr>
            <w:r w:rsidRPr="00BC1DAD">
              <w:rPr>
                <w:rFonts w:cs="Arial"/>
                <w:sz w:val="22"/>
                <w:szCs w:val="22"/>
              </w:rPr>
              <w:t>Does this section including the requested attachments within apply if Bidder will not have any employees working in NY State?</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75F47EA5" w14:textId="77777777" w:rsidR="00BC1DAD" w:rsidRPr="00997BB9" w:rsidRDefault="00BC1DAD" w:rsidP="00EA30D0">
            <w:pPr>
              <w:spacing w:before="120" w:after="120"/>
              <w:rPr>
                <w:rFonts w:cs="Arial"/>
                <w:sz w:val="22"/>
                <w:szCs w:val="22"/>
              </w:rPr>
            </w:pPr>
            <w:r w:rsidRPr="00997BB9">
              <w:rPr>
                <w:rFonts w:cs="Arial"/>
                <w:b/>
                <w:bCs/>
                <w:sz w:val="22"/>
                <w:szCs w:val="22"/>
              </w:rPr>
              <w:t>The Department confirms that Section 6.2.6 does not apply to Contractors with employees working exclusively outside of New York State.</w:t>
            </w:r>
          </w:p>
        </w:tc>
      </w:tr>
      <w:tr w:rsidR="007412FB" w:rsidRPr="00BC1DAD" w14:paraId="491B9871"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31B6194F" w14:textId="77777777" w:rsidR="00BC1DAD" w:rsidRPr="00BC1DAD" w:rsidRDefault="00BC1DAD" w:rsidP="00EA30D0">
            <w:pPr>
              <w:spacing w:before="120" w:after="120"/>
              <w:jc w:val="center"/>
              <w:rPr>
                <w:rFonts w:cs="Arial"/>
                <w:sz w:val="22"/>
                <w:szCs w:val="22"/>
              </w:rPr>
            </w:pPr>
            <w:r w:rsidRPr="00BC1DAD">
              <w:rPr>
                <w:rFonts w:cs="Arial"/>
                <w:sz w:val="22"/>
                <w:szCs w:val="22"/>
              </w:rPr>
              <w:t>6</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53112507" w14:textId="2BC2F516" w:rsidR="00382AD9"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6.2.9</w:t>
            </w:r>
            <w:r w:rsidR="00382AD9" w:rsidRPr="007412FB">
              <w:rPr>
                <w:rFonts w:cs="Arial"/>
                <w:b/>
                <w:bCs/>
                <w:sz w:val="20"/>
                <w:szCs w:val="20"/>
              </w:rPr>
              <w:t>.</w:t>
            </w:r>
          </w:p>
          <w:p w14:paraId="31F5C384" w14:textId="71CA361E" w:rsidR="00BC1DAD" w:rsidRPr="00BC1DAD" w:rsidRDefault="00BC1DAD" w:rsidP="00EA30D0">
            <w:pPr>
              <w:spacing w:before="120" w:after="120"/>
              <w:rPr>
                <w:rFonts w:cs="Arial"/>
                <w:sz w:val="20"/>
                <w:szCs w:val="20"/>
              </w:rPr>
            </w:pPr>
            <w:r w:rsidRPr="00BC1DAD">
              <w:rPr>
                <w:rFonts w:cs="Arial"/>
                <w:sz w:val="20"/>
                <w:szCs w:val="20"/>
              </w:rPr>
              <w:t>Workers</w:t>
            </w:r>
            <w:r w:rsidR="00382AD9">
              <w:rPr>
                <w:rFonts w:cs="Arial"/>
                <w:sz w:val="20"/>
                <w:szCs w:val="20"/>
              </w:rPr>
              <w:t>’</w:t>
            </w:r>
            <w:r w:rsidRPr="00BC1DAD">
              <w:rPr>
                <w:rFonts w:cs="Arial"/>
                <w:sz w:val="20"/>
                <w:szCs w:val="20"/>
              </w:rPr>
              <w:t xml:space="preserve"> Compensation and Disability Benefits Certifications</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3C5A744C" w14:textId="77777777" w:rsidR="00BC1DAD" w:rsidRPr="00BC1DAD" w:rsidRDefault="00BC1DAD" w:rsidP="00EA30D0">
            <w:pPr>
              <w:spacing w:before="120" w:after="120"/>
              <w:jc w:val="center"/>
              <w:rPr>
                <w:rFonts w:cs="Arial"/>
                <w:sz w:val="22"/>
                <w:szCs w:val="22"/>
              </w:rPr>
            </w:pPr>
            <w:r w:rsidRPr="00BC1DAD">
              <w:rPr>
                <w:rFonts w:cs="Arial"/>
                <w:sz w:val="22"/>
                <w:szCs w:val="22"/>
              </w:rPr>
              <w:t>31 -32</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41FF71D2" w14:textId="77777777" w:rsidR="00BC1DAD" w:rsidRPr="00BC1DAD" w:rsidRDefault="00BC1DAD" w:rsidP="00EA30D0">
            <w:pPr>
              <w:spacing w:before="120" w:after="120"/>
              <w:rPr>
                <w:rFonts w:cs="Arial"/>
                <w:sz w:val="22"/>
                <w:szCs w:val="22"/>
              </w:rPr>
            </w:pPr>
            <w:r w:rsidRPr="00BC1DAD">
              <w:rPr>
                <w:rFonts w:cs="Arial"/>
                <w:sz w:val="22"/>
                <w:szCs w:val="22"/>
              </w:rPr>
              <w:t>Bidder provides Worker’s Compensation in the States where it has employees.  Do the Worker’s Compensation and Disability Benefit requirements apply if Bidder will not have any employees working in NY State?</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45FAFF29" w14:textId="77777777" w:rsidR="00BC1DAD" w:rsidRPr="00997BB9" w:rsidRDefault="00BC1DAD" w:rsidP="00EA30D0">
            <w:pPr>
              <w:spacing w:before="120" w:after="120"/>
              <w:rPr>
                <w:rFonts w:cs="Arial"/>
                <w:b/>
                <w:bCs/>
                <w:sz w:val="22"/>
                <w:szCs w:val="22"/>
              </w:rPr>
            </w:pPr>
            <w:r w:rsidRPr="00997BB9">
              <w:rPr>
                <w:rFonts w:cs="Arial"/>
                <w:b/>
                <w:bCs/>
                <w:sz w:val="22"/>
                <w:szCs w:val="22"/>
              </w:rPr>
              <w:t xml:space="preserve">Bidder must provide sufficient evidence of coverage, or exemption from coverage (Form CE-200, Certificate of Attestation of Exemption from NYS Workers’ Compensation and/or Disability Benefits Coverage), as outlined in RFP Section 6.2.9. </w:t>
            </w:r>
          </w:p>
        </w:tc>
      </w:tr>
      <w:tr w:rsidR="007412FB" w:rsidRPr="00BC1DAD" w14:paraId="7B22CCC3"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2B40B01" w14:textId="77777777" w:rsidR="00BC1DAD" w:rsidRPr="00BC1DAD" w:rsidRDefault="00BC1DAD" w:rsidP="00EA30D0">
            <w:pPr>
              <w:spacing w:before="120" w:after="120"/>
              <w:jc w:val="center"/>
              <w:rPr>
                <w:rFonts w:cs="Arial"/>
                <w:sz w:val="22"/>
                <w:szCs w:val="22"/>
              </w:rPr>
            </w:pPr>
            <w:r w:rsidRPr="00BC1DAD">
              <w:rPr>
                <w:rFonts w:cs="Arial"/>
                <w:sz w:val="22"/>
                <w:szCs w:val="22"/>
              </w:rPr>
              <w:t>7</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1E56300B" w14:textId="71410AF5" w:rsidR="00382AD9"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6.2.24</w:t>
            </w:r>
            <w:r w:rsidR="00382AD9" w:rsidRPr="007412FB">
              <w:rPr>
                <w:rFonts w:cs="Arial"/>
                <w:b/>
                <w:bCs/>
                <w:sz w:val="20"/>
                <w:szCs w:val="20"/>
              </w:rPr>
              <w:t>.</w:t>
            </w:r>
          </w:p>
          <w:p w14:paraId="10170B0B" w14:textId="5DE46727" w:rsidR="00BC1DAD" w:rsidRPr="00BC1DAD" w:rsidRDefault="00BC1DAD" w:rsidP="00EA30D0">
            <w:pPr>
              <w:spacing w:before="120" w:after="120"/>
              <w:rPr>
                <w:rFonts w:cs="Arial"/>
                <w:sz w:val="20"/>
                <w:szCs w:val="20"/>
              </w:rPr>
            </w:pPr>
            <w:r w:rsidRPr="00BC1DAD">
              <w:rPr>
                <w:rFonts w:cs="Arial"/>
                <w:sz w:val="20"/>
                <w:szCs w:val="20"/>
              </w:rPr>
              <w:t>Sexual Harassment Prevention Certification</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5F0F6B21" w14:textId="77777777" w:rsidR="00BC1DAD" w:rsidRPr="00BC1DAD" w:rsidRDefault="00BC1DAD" w:rsidP="00EA30D0">
            <w:pPr>
              <w:spacing w:before="120" w:after="120"/>
              <w:jc w:val="center"/>
              <w:rPr>
                <w:rFonts w:cs="Arial"/>
                <w:sz w:val="22"/>
                <w:szCs w:val="22"/>
              </w:rPr>
            </w:pPr>
            <w:r w:rsidRPr="00BC1DAD">
              <w:rPr>
                <w:rFonts w:cs="Arial"/>
                <w:sz w:val="22"/>
                <w:szCs w:val="22"/>
              </w:rPr>
              <w:t>39 -40</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6EF657A6" w14:textId="77777777" w:rsidR="00BC1DAD" w:rsidRPr="00BC1DAD" w:rsidRDefault="00BC1DAD" w:rsidP="00EA30D0">
            <w:pPr>
              <w:spacing w:before="120" w:after="120"/>
              <w:rPr>
                <w:rFonts w:cs="Arial"/>
                <w:sz w:val="22"/>
                <w:szCs w:val="22"/>
              </w:rPr>
            </w:pPr>
            <w:r w:rsidRPr="00BC1DAD">
              <w:rPr>
                <w:rFonts w:cs="Arial"/>
                <w:sz w:val="22"/>
                <w:szCs w:val="22"/>
              </w:rPr>
              <w:t>Bidder has a written sexual harassment prevention policy, and provides biennial sexual harassment training.  Since Bidder will not have any employees in NY State, will the State allow an exception to this requirement?</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7E8B732D" w14:textId="77777777" w:rsidR="00BC1DAD" w:rsidRPr="00997BB9" w:rsidRDefault="00BC1DAD" w:rsidP="00EA30D0">
            <w:pPr>
              <w:spacing w:before="120" w:after="120"/>
              <w:rPr>
                <w:rFonts w:cs="Arial"/>
                <w:b/>
                <w:bCs/>
                <w:sz w:val="22"/>
                <w:szCs w:val="22"/>
              </w:rPr>
            </w:pPr>
            <w:r w:rsidRPr="00997BB9">
              <w:rPr>
                <w:rFonts w:cs="Arial"/>
                <w:b/>
                <w:bCs/>
                <w:sz w:val="22"/>
                <w:szCs w:val="22"/>
              </w:rPr>
              <w:t>Bidders are required to submit Attachment 15 - Sexual Harassment Prevention Certification with their proposal submission. State Finance Law §139-l requires Bidders on state procurements to certify that they have a written policy addressing sexual harassment prevention in the workplace and provide annual sexual harassment training (that meets the Department of Labor’s model policy and training standards) to all its employees.</w:t>
            </w:r>
          </w:p>
          <w:p w14:paraId="46CE8074" w14:textId="77777777" w:rsidR="00BC1DAD" w:rsidRPr="00997BB9" w:rsidRDefault="00BC1DAD" w:rsidP="00EA30D0">
            <w:pPr>
              <w:spacing w:before="120" w:after="120"/>
              <w:rPr>
                <w:rFonts w:cs="Arial"/>
                <w:b/>
                <w:bCs/>
                <w:sz w:val="22"/>
                <w:szCs w:val="22"/>
              </w:rPr>
            </w:pPr>
            <w:r w:rsidRPr="00997BB9">
              <w:rPr>
                <w:rFonts w:cs="Arial"/>
                <w:b/>
                <w:bCs/>
                <w:sz w:val="22"/>
                <w:szCs w:val="22"/>
              </w:rPr>
              <w:lastRenderedPageBreak/>
              <w:t>Bids that do not contain the certification will not be considered for award; provided however, that if the Bidder cannot make the certification, the Bidder may provide a signed statement with their bid detailing the reasons why the certification cannot be made. The Department will assess the reasonableness of the Bidder’s signed statement and determine if the information provided is acceptable.</w:t>
            </w:r>
          </w:p>
        </w:tc>
      </w:tr>
      <w:tr w:rsidR="007412FB" w:rsidRPr="00BC1DAD" w14:paraId="30EDB02A"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011640E4" w14:textId="77777777" w:rsidR="00BC1DAD" w:rsidRPr="00BC1DAD" w:rsidRDefault="00BC1DAD" w:rsidP="00EA30D0">
            <w:pPr>
              <w:spacing w:before="120" w:after="120"/>
              <w:jc w:val="center"/>
              <w:rPr>
                <w:rFonts w:cs="Arial"/>
                <w:sz w:val="22"/>
                <w:szCs w:val="22"/>
              </w:rPr>
            </w:pPr>
            <w:r w:rsidRPr="00BC1DAD">
              <w:rPr>
                <w:rFonts w:cs="Arial"/>
                <w:sz w:val="22"/>
                <w:szCs w:val="22"/>
              </w:rPr>
              <w:lastRenderedPageBreak/>
              <w:t>8</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19B24A10" w14:textId="674E3B28" w:rsidR="00382AD9"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7.1</w:t>
            </w:r>
            <w:r w:rsidR="00382AD9" w:rsidRPr="007412FB">
              <w:rPr>
                <w:rFonts w:cs="Arial"/>
                <w:b/>
                <w:bCs/>
                <w:sz w:val="20"/>
                <w:szCs w:val="20"/>
              </w:rPr>
              <w:t>.</w:t>
            </w:r>
          </w:p>
          <w:p w14:paraId="4DC41B9B" w14:textId="65C034B1" w:rsidR="00BC1DAD" w:rsidRPr="00BC1DAD" w:rsidRDefault="00BC1DAD" w:rsidP="00EA30D0">
            <w:pPr>
              <w:spacing w:before="120" w:after="120"/>
              <w:rPr>
                <w:rFonts w:cs="Arial"/>
                <w:sz w:val="20"/>
                <w:szCs w:val="20"/>
              </w:rPr>
            </w:pPr>
            <w:r w:rsidRPr="00BC1DAD">
              <w:rPr>
                <w:rFonts w:cs="Arial"/>
                <w:sz w:val="20"/>
                <w:szCs w:val="20"/>
              </w:rPr>
              <w:t>Proposal Content and Organization</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7763ECA9" w14:textId="7A1D7052" w:rsidR="00BC1DAD" w:rsidRPr="00BC1DAD" w:rsidRDefault="00BC1DAD" w:rsidP="00EA30D0">
            <w:pPr>
              <w:spacing w:before="120" w:after="120"/>
              <w:jc w:val="center"/>
              <w:rPr>
                <w:rFonts w:cs="Arial"/>
                <w:sz w:val="22"/>
                <w:szCs w:val="22"/>
              </w:rPr>
            </w:pPr>
            <w:r w:rsidRPr="00BC1DAD">
              <w:rPr>
                <w:rFonts w:cs="Arial"/>
                <w:sz w:val="22"/>
                <w:szCs w:val="22"/>
              </w:rPr>
              <w:t>40</w:t>
            </w:r>
            <w:r w:rsidR="00382AD9">
              <w:rPr>
                <w:rFonts w:cs="Arial"/>
                <w:sz w:val="22"/>
                <w:szCs w:val="22"/>
              </w:rPr>
              <w:t>-41</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3FF54830" w14:textId="2BC7734D" w:rsidR="00EA30D0" w:rsidRPr="00BC1DAD" w:rsidRDefault="00BC1DAD" w:rsidP="00EA30D0">
            <w:pPr>
              <w:spacing w:before="120" w:after="120"/>
              <w:rPr>
                <w:rFonts w:cs="Arial"/>
                <w:sz w:val="22"/>
                <w:szCs w:val="22"/>
              </w:rPr>
            </w:pPr>
            <w:r w:rsidRPr="00BC1DAD">
              <w:rPr>
                <w:rFonts w:cs="Arial"/>
                <w:sz w:val="22"/>
                <w:szCs w:val="22"/>
              </w:rPr>
              <w:t>The Volume One Format listed in the RFP contains 2 Tab’s, while the Bidder’s Checklist contains 3 Tab’s.  Should the vendor use the Bidder’s Checklist format with the 3 Tab’s for submission of its proposal?</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6FF8A563" w14:textId="05925E61" w:rsidR="00BC1DAD" w:rsidRPr="00997BB9" w:rsidRDefault="00BC1DAD" w:rsidP="00EA30D0">
            <w:pPr>
              <w:spacing w:before="120" w:after="120"/>
              <w:rPr>
                <w:rFonts w:cs="Arial"/>
                <w:b/>
                <w:bCs/>
                <w:sz w:val="22"/>
                <w:szCs w:val="22"/>
              </w:rPr>
            </w:pPr>
            <w:r w:rsidRPr="00997BB9">
              <w:rPr>
                <w:rFonts w:cs="Arial"/>
                <w:b/>
                <w:bCs/>
                <w:sz w:val="22"/>
                <w:szCs w:val="22"/>
              </w:rPr>
              <w:t xml:space="preserve">Yes, the Bidder should use the Bidder’s Checklist format </w:t>
            </w:r>
            <w:r w:rsidR="00EE1932">
              <w:rPr>
                <w:rFonts w:cs="Arial"/>
                <w:b/>
                <w:bCs/>
                <w:sz w:val="22"/>
                <w:szCs w:val="22"/>
              </w:rPr>
              <w:t>including</w:t>
            </w:r>
            <w:r w:rsidRPr="00997BB9">
              <w:rPr>
                <w:rFonts w:cs="Arial"/>
                <w:b/>
                <w:bCs/>
                <w:sz w:val="22"/>
                <w:szCs w:val="22"/>
              </w:rPr>
              <w:t xml:space="preserve"> 3 Tabs for submission of its proposal. Also see RFP Amendment #1.</w:t>
            </w:r>
          </w:p>
        </w:tc>
      </w:tr>
      <w:tr w:rsidR="007412FB" w:rsidRPr="00BC1DAD" w14:paraId="15CD91E8"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298C15FF" w14:textId="77777777" w:rsidR="00BC1DAD" w:rsidRPr="00BC1DAD" w:rsidRDefault="00BC1DAD" w:rsidP="00EA30D0">
            <w:pPr>
              <w:spacing w:before="120" w:after="120"/>
              <w:jc w:val="center"/>
              <w:rPr>
                <w:rFonts w:cs="Arial"/>
                <w:sz w:val="22"/>
                <w:szCs w:val="22"/>
              </w:rPr>
            </w:pPr>
            <w:r w:rsidRPr="00BC1DAD">
              <w:rPr>
                <w:rFonts w:cs="Arial"/>
                <w:sz w:val="22"/>
                <w:szCs w:val="22"/>
              </w:rPr>
              <w:t>9</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20A5192E" w14:textId="3F406BF0" w:rsidR="00382AD9" w:rsidRPr="007412FB" w:rsidRDefault="007412FB" w:rsidP="00EA30D0">
            <w:pPr>
              <w:spacing w:before="120" w:after="120"/>
              <w:rPr>
                <w:rFonts w:cs="Arial"/>
                <w:b/>
                <w:bCs/>
                <w:sz w:val="20"/>
                <w:szCs w:val="20"/>
              </w:rPr>
            </w:pPr>
            <w:r w:rsidRPr="007412FB">
              <w:rPr>
                <w:rFonts w:cs="Arial"/>
                <w:b/>
                <w:bCs/>
                <w:sz w:val="20"/>
                <w:szCs w:val="20"/>
              </w:rPr>
              <w:t xml:space="preserve">RFP Section </w:t>
            </w:r>
            <w:r w:rsidR="00BC1DAD" w:rsidRPr="007412FB">
              <w:rPr>
                <w:rFonts w:cs="Arial"/>
                <w:b/>
                <w:bCs/>
                <w:sz w:val="20"/>
                <w:szCs w:val="20"/>
              </w:rPr>
              <w:t>7.1</w:t>
            </w:r>
            <w:r w:rsidR="00382AD9" w:rsidRPr="007412FB">
              <w:rPr>
                <w:rFonts w:cs="Arial"/>
                <w:b/>
                <w:bCs/>
                <w:sz w:val="20"/>
                <w:szCs w:val="20"/>
              </w:rPr>
              <w:t>.</w:t>
            </w:r>
            <w:r w:rsidR="00BC1DAD" w:rsidRPr="007412FB">
              <w:rPr>
                <w:rFonts w:cs="Arial"/>
                <w:b/>
                <w:bCs/>
                <w:sz w:val="20"/>
                <w:szCs w:val="20"/>
              </w:rPr>
              <w:t xml:space="preserve"> </w:t>
            </w:r>
          </w:p>
          <w:p w14:paraId="7E34B033" w14:textId="249C70EE" w:rsidR="00BC1DAD" w:rsidRPr="00BC1DAD" w:rsidRDefault="00BC1DAD" w:rsidP="00EA30D0">
            <w:pPr>
              <w:spacing w:before="120" w:after="120"/>
              <w:rPr>
                <w:rFonts w:cs="Arial"/>
                <w:sz w:val="20"/>
                <w:szCs w:val="20"/>
              </w:rPr>
            </w:pPr>
            <w:r w:rsidRPr="00BC1DAD">
              <w:rPr>
                <w:rFonts w:cs="Arial"/>
                <w:sz w:val="20"/>
                <w:szCs w:val="20"/>
              </w:rPr>
              <w:t>Proposal Content and Organization</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46588931" w14:textId="186D8980" w:rsidR="00BC1DAD" w:rsidRPr="00BC1DAD" w:rsidRDefault="00BC1DAD" w:rsidP="00EA30D0">
            <w:pPr>
              <w:spacing w:before="120" w:after="120"/>
              <w:jc w:val="center"/>
              <w:rPr>
                <w:rFonts w:cs="Arial"/>
                <w:sz w:val="22"/>
                <w:szCs w:val="22"/>
              </w:rPr>
            </w:pPr>
            <w:r w:rsidRPr="00BC1DAD">
              <w:rPr>
                <w:rFonts w:cs="Arial"/>
                <w:sz w:val="22"/>
                <w:szCs w:val="22"/>
              </w:rPr>
              <w:t>4</w:t>
            </w:r>
            <w:r w:rsidR="00382AD9">
              <w:rPr>
                <w:rFonts w:cs="Arial"/>
                <w:sz w:val="22"/>
                <w:szCs w:val="22"/>
              </w:rPr>
              <w:t>0-41</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3F5B8F68" w14:textId="11D4CCF4" w:rsidR="00EA30D0" w:rsidRPr="00BC1DAD" w:rsidRDefault="00BC1DAD" w:rsidP="00EA30D0">
            <w:pPr>
              <w:spacing w:before="120" w:after="120"/>
              <w:rPr>
                <w:rFonts w:cs="Arial"/>
                <w:sz w:val="22"/>
                <w:szCs w:val="22"/>
              </w:rPr>
            </w:pPr>
            <w:r w:rsidRPr="00BC1DAD">
              <w:rPr>
                <w:rFonts w:cs="Arial"/>
                <w:sz w:val="22"/>
                <w:szCs w:val="22"/>
              </w:rPr>
              <w:t>The Volume Two Format shows we should include the Bidder’s Checklist in Tab 1, while the Bidder’s Checklist shows the Bidder’s checklist should be submitted in Tab 2.  Should the vendor use the Bidder’s Checklist format providing the checklist in Tab 2 for submission of its proposal?</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35E7B9BF" w14:textId="77777777" w:rsidR="00BC1DAD" w:rsidRPr="00997BB9" w:rsidRDefault="00BC1DAD" w:rsidP="00EA30D0">
            <w:pPr>
              <w:spacing w:before="120" w:after="120"/>
              <w:rPr>
                <w:rFonts w:cs="Arial"/>
                <w:b/>
                <w:bCs/>
                <w:sz w:val="22"/>
                <w:szCs w:val="22"/>
              </w:rPr>
            </w:pPr>
            <w:r w:rsidRPr="00997BB9">
              <w:rPr>
                <w:rFonts w:cs="Arial"/>
                <w:b/>
                <w:bCs/>
                <w:sz w:val="22"/>
                <w:szCs w:val="22"/>
              </w:rPr>
              <w:t>Yes, the Bidder should use the Bidder’s Checklist format for submission of its proposal. Also see RFP Amendment #1.</w:t>
            </w:r>
          </w:p>
        </w:tc>
      </w:tr>
      <w:tr w:rsidR="007412FB" w:rsidRPr="00BC1DAD" w14:paraId="4E64F752"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0A6329A2" w14:textId="77777777" w:rsidR="00BC1DAD" w:rsidRPr="00BC1DAD" w:rsidRDefault="00BC1DAD" w:rsidP="00EA30D0">
            <w:pPr>
              <w:spacing w:before="120" w:after="120"/>
              <w:jc w:val="center"/>
              <w:rPr>
                <w:rFonts w:cs="Arial"/>
                <w:sz w:val="22"/>
                <w:szCs w:val="22"/>
              </w:rPr>
            </w:pPr>
            <w:r w:rsidRPr="00BC1DAD">
              <w:rPr>
                <w:rFonts w:cs="Arial"/>
                <w:sz w:val="22"/>
                <w:szCs w:val="22"/>
              </w:rPr>
              <w:t>10</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02BC8013" w14:textId="77777777" w:rsidR="00382AD9" w:rsidRPr="00382AD9" w:rsidRDefault="00382AD9" w:rsidP="00EA30D0">
            <w:pPr>
              <w:spacing w:before="120" w:after="120"/>
              <w:rPr>
                <w:rFonts w:cs="Arial"/>
                <w:b/>
                <w:bCs/>
                <w:sz w:val="20"/>
                <w:szCs w:val="20"/>
              </w:rPr>
            </w:pPr>
            <w:r w:rsidRPr="00382AD9">
              <w:rPr>
                <w:rFonts w:cs="Arial"/>
                <w:b/>
                <w:bCs/>
                <w:sz w:val="20"/>
                <w:szCs w:val="20"/>
              </w:rPr>
              <w:t>Attachments</w:t>
            </w:r>
          </w:p>
          <w:p w14:paraId="1940CFBF" w14:textId="41696109" w:rsidR="00BC1DAD" w:rsidRPr="00BC1DAD" w:rsidRDefault="00BC1DAD" w:rsidP="00EA30D0">
            <w:pPr>
              <w:spacing w:before="120" w:after="120"/>
              <w:rPr>
                <w:rFonts w:cs="Arial"/>
                <w:sz w:val="20"/>
                <w:szCs w:val="20"/>
              </w:rPr>
            </w:pPr>
            <w:r w:rsidRPr="00BC1DAD">
              <w:rPr>
                <w:rFonts w:cs="Arial"/>
                <w:sz w:val="20"/>
                <w:szCs w:val="20"/>
              </w:rPr>
              <w:t>Attachment 15 – Sexual Harassment Prevention Certificate</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666E8616" w14:textId="77777777" w:rsidR="00BC1DAD" w:rsidRPr="00BC1DAD" w:rsidRDefault="00BC1DAD" w:rsidP="00EA30D0">
            <w:pPr>
              <w:spacing w:before="120" w:after="120"/>
              <w:jc w:val="center"/>
              <w:rPr>
                <w:rFonts w:cs="Arial"/>
                <w:sz w:val="22"/>
                <w:szCs w:val="22"/>
              </w:rPr>
            </w:pPr>
            <w:r w:rsidRPr="00BC1DAD">
              <w:rPr>
                <w:rFonts w:cs="Arial"/>
                <w:sz w:val="22"/>
                <w:szCs w:val="22"/>
              </w:rPr>
              <w:t>20</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57260E10" w14:textId="77777777" w:rsidR="00BC1DAD" w:rsidRPr="00BC1DAD" w:rsidRDefault="00BC1DAD" w:rsidP="00EA30D0">
            <w:pPr>
              <w:spacing w:before="120" w:after="120"/>
              <w:rPr>
                <w:rFonts w:cs="Arial"/>
                <w:sz w:val="22"/>
                <w:szCs w:val="22"/>
              </w:rPr>
            </w:pPr>
            <w:r w:rsidRPr="00BC1DAD">
              <w:rPr>
                <w:rFonts w:cs="Arial"/>
                <w:sz w:val="22"/>
                <w:szCs w:val="22"/>
              </w:rPr>
              <w:t>Bidder has a written sexual harassment prevention policy, and provides biennial sexual harassment training.  Since Bidder will not have any employees in NY State, will the State allow an exception to this requirement?</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2E6E093B" w14:textId="77777777" w:rsidR="00BC1DAD" w:rsidRPr="00997BB9" w:rsidRDefault="00BC1DAD" w:rsidP="00EA30D0">
            <w:pPr>
              <w:spacing w:before="120" w:after="120"/>
              <w:rPr>
                <w:rFonts w:cs="Arial"/>
                <w:b/>
                <w:bCs/>
                <w:sz w:val="22"/>
                <w:szCs w:val="22"/>
              </w:rPr>
            </w:pPr>
            <w:r w:rsidRPr="00997BB9">
              <w:rPr>
                <w:rFonts w:cs="Arial"/>
                <w:b/>
                <w:bCs/>
                <w:sz w:val="22"/>
                <w:szCs w:val="22"/>
              </w:rPr>
              <w:t xml:space="preserve">See Response to Question #7. </w:t>
            </w:r>
          </w:p>
        </w:tc>
      </w:tr>
      <w:tr w:rsidR="007412FB" w:rsidRPr="00BC1DAD" w14:paraId="0D974AC6"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1270EB4B" w14:textId="16FFC22C" w:rsidR="00BC1DAD" w:rsidRPr="00BC1DAD" w:rsidRDefault="009A42C6" w:rsidP="00EA30D0">
            <w:pPr>
              <w:spacing w:before="120" w:after="120"/>
              <w:jc w:val="center"/>
              <w:rPr>
                <w:rFonts w:cs="Arial"/>
                <w:sz w:val="22"/>
                <w:szCs w:val="22"/>
              </w:rPr>
            </w:pPr>
            <w:bookmarkStart w:id="2" w:name="_Hlk152750403"/>
            <w:r>
              <w:rPr>
                <w:rFonts w:cs="Arial"/>
                <w:sz w:val="22"/>
                <w:szCs w:val="22"/>
              </w:rPr>
              <w:t>11</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12B2F66F" w14:textId="77777777" w:rsidR="00382AD9" w:rsidRPr="00382AD9" w:rsidRDefault="00382AD9" w:rsidP="00EA30D0">
            <w:pPr>
              <w:spacing w:before="120" w:after="120"/>
              <w:rPr>
                <w:rFonts w:cs="Arial"/>
                <w:b/>
                <w:bCs/>
                <w:sz w:val="20"/>
                <w:szCs w:val="20"/>
              </w:rPr>
            </w:pPr>
            <w:r w:rsidRPr="00382AD9">
              <w:rPr>
                <w:rFonts w:cs="Arial"/>
                <w:b/>
                <w:bCs/>
                <w:sz w:val="20"/>
                <w:szCs w:val="20"/>
              </w:rPr>
              <w:t>Attachments</w:t>
            </w:r>
          </w:p>
          <w:p w14:paraId="10FF624F" w14:textId="11041E58" w:rsidR="00BC1DAD" w:rsidRPr="00BC1DAD" w:rsidRDefault="00BC1DAD" w:rsidP="00EA30D0">
            <w:pPr>
              <w:spacing w:before="120" w:after="120"/>
              <w:rPr>
                <w:rFonts w:cs="Arial"/>
                <w:sz w:val="20"/>
                <w:szCs w:val="20"/>
              </w:rPr>
            </w:pPr>
            <w:r w:rsidRPr="00BC1DAD">
              <w:rPr>
                <w:rFonts w:cs="Arial"/>
                <w:sz w:val="20"/>
                <w:szCs w:val="20"/>
              </w:rPr>
              <w:t xml:space="preserve">Attachment 18 – </w:t>
            </w:r>
            <w:r w:rsidR="00382AD9">
              <w:t xml:space="preserve"> </w:t>
            </w:r>
            <w:r w:rsidR="00382AD9" w:rsidRPr="00382AD9">
              <w:rPr>
                <w:rFonts w:cs="Arial"/>
                <w:sz w:val="20"/>
                <w:szCs w:val="20"/>
              </w:rPr>
              <w:t xml:space="preserve">Acknowledgement of Confidentiality of IRS Tax Return Information and Internal Revenue </w:t>
            </w:r>
            <w:r w:rsidR="00382AD9" w:rsidRPr="00382AD9">
              <w:rPr>
                <w:rFonts w:cs="Arial"/>
                <w:sz w:val="20"/>
                <w:szCs w:val="20"/>
              </w:rPr>
              <w:lastRenderedPageBreak/>
              <w:t>Code Selected Confidentiality Provisions Pertaining to Contractors (Technology Services)</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306B1DCF" w14:textId="77777777" w:rsidR="00BC1DAD" w:rsidRPr="00BC1DAD" w:rsidRDefault="00BC1DAD" w:rsidP="00EA30D0">
            <w:pPr>
              <w:spacing w:before="120" w:after="120"/>
              <w:jc w:val="center"/>
              <w:rPr>
                <w:rFonts w:cs="Arial"/>
                <w:sz w:val="22"/>
                <w:szCs w:val="22"/>
              </w:rPr>
            </w:pPr>
            <w:r w:rsidRPr="00BC1DAD">
              <w:rPr>
                <w:rFonts w:cs="Arial"/>
                <w:sz w:val="22"/>
                <w:szCs w:val="22"/>
              </w:rPr>
              <w:lastRenderedPageBreak/>
              <w:t>24</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34DB0480" w14:textId="77777777" w:rsidR="00BC1DAD" w:rsidRPr="00BC1DAD" w:rsidRDefault="00BC1DAD" w:rsidP="00EA30D0">
            <w:pPr>
              <w:spacing w:before="120" w:after="120"/>
              <w:rPr>
                <w:rFonts w:cs="Arial"/>
                <w:sz w:val="22"/>
                <w:szCs w:val="22"/>
              </w:rPr>
            </w:pPr>
            <w:r w:rsidRPr="00BC1DAD">
              <w:rPr>
                <w:rFonts w:cs="Arial"/>
                <w:sz w:val="22"/>
                <w:szCs w:val="22"/>
              </w:rPr>
              <w:t xml:space="preserve">It is our understanding that FTI will not be sent to the contractor for this program, due to that data being disseminated to the FIs.  Will the contractor receive FTI under this contract?  If so, how does the Fingerprint process work, required by Pub 1075, for out of state contractors?  Will the contractor be </w:t>
            </w:r>
            <w:r w:rsidRPr="00BC1DAD">
              <w:rPr>
                <w:rFonts w:cs="Arial"/>
                <w:sz w:val="22"/>
                <w:szCs w:val="22"/>
              </w:rPr>
              <w:lastRenderedPageBreak/>
              <w:t>responsible for the cost to fingerprint, or will NYS DTF carry that cost?</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4EFAD9B2" w14:textId="113C260C" w:rsidR="00997BB9" w:rsidRPr="00997BB9" w:rsidRDefault="00997BB9" w:rsidP="00EA30D0">
            <w:pPr>
              <w:spacing w:before="120" w:after="120"/>
              <w:rPr>
                <w:rFonts w:cs="Arial"/>
                <w:b/>
                <w:bCs/>
                <w:sz w:val="22"/>
                <w:szCs w:val="22"/>
              </w:rPr>
            </w:pPr>
            <w:r w:rsidRPr="00997BB9">
              <w:rPr>
                <w:rFonts w:cs="Arial"/>
                <w:b/>
                <w:bCs/>
                <w:sz w:val="22"/>
                <w:szCs w:val="22"/>
              </w:rPr>
              <w:lastRenderedPageBreak/>
              <w:t>Yes, there will be FTI included in the data being disseminated to</w:t>
            </w:r>
            <w:r>
              <w:rPr>
                <w:rFonts w:cs="Arial"/>
                <w:b/>
                <w:bCs/>
                <w:sz w:val="22"/>
                <w:szCs w:val="22"/>
              </w:rPr>
              <w:t xml:space="preserve"> the FIs</w:t>
            </w:r>
            <w:r w:rsidRPr="00997BB9">
              <w:rPr>
                <w:rFonts w:cs="Arial"/>
                <w:b/>
                <w:bCs/>
                <w:sz w:val="22"/>
                <w:szCs w:val="22"/>
              </w:rPr>
              <w:t>, although it will not be specifically identified as such.</w:t>
            </w:r>
          </w:p>
          <w:p w14:paraId="2CE0DCA2" w14:textId="3772CB41" w:rsidR="00997BB9" w:rsidRPr="00E51C43" w:rsidRDefault="00997BB9" w:rsidP="00EA30D0">
            <w:pPr>
              <w:spacing w:before="120" w:after="120"/>
              <w:rPr>
                <w:rFonts w:cs="Arial"/>
                <w:b/>
                <w:bCs/>
                <w:sz w:val="22"/>
                <w:szCs w:val="22"/>
              </w:rPr>
            </w:pPr>
            <w:r w:rsidRPr="00997BB9">
              <w:rPr>
                <w:rFonts w:cs="Arial"/>
                <w:b/>
                <w:bCs/>
                <w:sz w:val="22"/>
                <w:szCs w:val="22"/>
              </w:rPr>
              <w:t xml:space="preserve">Since FTI will be provided, the contractor must implement a background investigation process for its employees that will have access to the </w:t>
            </w:r>
            <w:r w:rsidRPr="00997BB9">
              <w:rPr>
                <w:rFonts w:cs="Arial"/>
                <w:b/>
                <w:bCs/>
                <w:sz w:val="22"/>
                <w:szCs w:val="22"/>
              </w:rPr>
              <w:lastRenderedPageBreak/>
              <w:t>information.  Additional information on these requirements can be found within Publication 1075, section 2.C.3 - Background Investigation Minimum Requirements</w:t>
            </w:r>
            <w:r w:rsidR="005E02FD">
              <w:rPr>
                <w:rFonts w:cs="Arial"/>
                <w:b/>
                <w:bCs/>
                <w:sz w:val="22"/>
                <w:szCs w:val="22"/>
              </w:rPr>
              <w:t xml:space="preserve"> at </w:t>
            </w:r>
            <w:hyperlink r:id="rId11" w:history="1">
              <w:r w:rsidR="005E02FD" w:rsidRPr="004A5AAE">
                <w:rPr>
                  <w:rStyle w:val="Hyperlink"/>
                  <w:rFonts w:cs="Arial"/>
                  <w:b/>
                  <w:bCs/>
                  <w:sz w:val="22"/>
                  <w:szCs w:val="22"/>
                </w:rPr>
                <w:t>https://www.irs.gov/pub/irs-pdf/p1075.pdf</w:t>
              </w:r>
            </w:hyperlink>
            <w:r w:rsidRPr="00997BB9">
              <w:rPr>
                <w:rFonts w:cs="Arial"/>
                <w:b/>
                <w:bCs/>
                <w:sz w:val="22"/>
                <w:szCs w:val="22"/>
              </w:rPr>
              <w:t>.  More specifics on fingerprinting and the components of the IRS background investigation requirements can also</w:t>
            </w:r>
            <w:r w:rsidR="009C4E6D">
              <w:rPr>
                <w:rFonts w:cs="Arial"/>
                <w:b/>
                <w:bCs/>
                <w:sz w:val="22"/>
                <w:szCs w:val="22"/>
              </w:rPr>
              <w:t xml:space="preserve"> be</w:t>
            </w:r>
            <w:r w:rsidRPr="00997BB9">
              <w:rPr>
                <w:rFonts w:cs="Arial"/>
                <w:b/>
                <w:bCs/>
                <w:sz w:val="22"/>
                <w:szCs w:val="22"/>
              </w:rPr>
              <w:t xml:space="preserve"> found </w:t>
            </w:r>
            <w:r w:rsidRPr="00E51C43">
              <w:rPr>
                <w:rFonts w:cs="Arial"/>
                <w:b/>
                <w:bCs/>
                <w:sz w:val="22"/>
                <w:szCs w:val="22"/>
              </w:rPr>
              <w:t>here on</w:t>
            </w:r>
            <w:r w:rsidR="00E51C43" w:rsidRPr="00E51C43">
              <w:rPr>
                <w:b/>
                <w:bCs/>
              </w:rPr>
              <w:t xml:space="preserve">  </w:t>
            </w:r>
            <w:hyperlink r:id="rId12" w:history="1">
              <w:r w:rsidR="00E51C43" w:rsidRPr="00E51C43">
                <w:rPr>
                  <w:rStyle w:val="Hyperlink"/>
                  <w:b/>
                  <w:bCs/>
                </w:rPr>
                <w:t>https://www.irs.gov/privacy-disclosure/background-investigations</w:t>
              </w:r>
            </w:hyperlink>
            <w:r w:rsidRPr="00E51C43">
              <w:rPr>
                <w:rFonts w:cs="Arial"/>
                <w:b/>
                <w:bCs/>
                <w:sz w:val="22"/>
                <w:szCs w:val="22"/>
              </w:rPr>
              <w:t>.</w:t>
            </w:r>
          </w:p>
          <w:p w14:paraId="3C9DD23D" w14:textId="77777777" w:rsidR="00BC1DAD" w:rsidRPr="00997BB9" w:rsidRDefault="00BC1DAD" w:rsidP="00EA30D0">
            <w:pPr>
              <w:spacing w:before="120" w:after="120"/>
              <w:rPr>
                <w:rFonts w:cs="Arial"/>
                <w:b/>
                <w:bCs/>
                <w:sz w:val="22"/>
                <w:szCs w:val="22"/>
              </w:rPr>
            </w:pPr>
            <w:r w:rsidRPr="00997BB9">
              <w:rPr>
                <w:rFonts w:cs="Arial"/>
                <w:b/>
                <w:bCs/>
                <w:sz w:val="22"/>
                <w:szCs w:val="22"/>
              </w:rPr>
              <w:t>All costs associated with the requirements of the RFP must be incorporated into the Bidder’s financial response.</w:t>
            </w:r>
          </w:p>
        </w:tc>
      </w:tr>
      <w:bookmarkEnd w:id="2"/>
      <w:tr w:rsidR="007412FB" w:rsidRPr="00BC1DAD" w14:paraId="49A22DDE"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001C54E4" w14:textId="6E60051F" w:rsidR="00BC1DAD" w:rsidRPr="00BC1DAD" w:rsidRDefault="00BC1DAD" w:rsidP="00EA30D0">
            <w:pPr>
              <w:spacing w:before="120" w:after="120"/>
              <w:jc w:val="center"/>
              <w:rPr>
                <w:rFonts w:cs="Arial"/>
                <w:sz w:val="22"/>
                <w:szCs w:val="22"/>
              </w:rPr>
            </w:pPr>
            <w:r w:rsidRPr="00BC1DAD">
              <w:rPr>
                <w:rFonts w:cs="Arial"/>
                <w:sz w:val="22"/>
                <w:szCs w:val="22"/>
              </w:rPr>
              <w:lastRenderedPageBreak/>
              <w:t>1</w:t>
            </w:r>
            <w:r w:rsidR="009A42C6">
              <w:rPr>
                <w:rFonts w:cs="Arial"/>
                <w:sz w:val="22"/>
                <w:szCs w:val="22"/>
              </w:rPr>
              <w:t>2</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2AEB2A9B" w14:textId="02DAD3AE" w:rsidR="00382AD9" w:rsidRPr="00382AD9" w:rsidRDefault="00382AD9" w:rsidP="00EA30D0">
            <w:pPr>
              <w:spacing w:before="120" w:after="120"/>
              <w:rPr>
                <w:rFonts w:cs="Arial"/>
                <w:b/>
                <w:bCs/>
                <w:sz w:val="20"/>
                <w:szCs w:val="20"/>
              </w:rPr>
            </w:pPr>
            <w:r w:rsidRPr="00382AD9">
              <w:rPr>
                <w:rFonts w:cs="Arial"/>
                <w:b/>
                <w:bCs/>
                <w:sz w:val="20"/>
                <w:szCs w:val="20"/>
              </w:rPr>
              <w:t>Attachments</w:t>
            </w:r>
          </w:p>
          <w:p w14:paraId="59F162D4" w14:textId="76A4CA20" w:rsidR="00BC1DAD" w:rsidRPr="00BC1DAD" w:rsidRDefault="00BC1DAD" w:rsidP="00EA30D0">
            <w:pPr>
              <w:spacing w:before="120" w:after="120"/>
              <w:rPr>
                <w:rFonts w:cs="Arial"/>
                <w:sz w:val="20"/>
                <w:szCs w:val="20"/>
              </w:rPr>
            </w:pPr>
            <w:r w:rsidRPr="00BC1DAD">
              <w:rPr>
                <w:rFonts w:cs="Arial"/>
                <w:sz w:val="20"/>
                <w:szCs w:val="20"/>
              </w:rPr>
              <w:t>Attachment E – Outreach Plan Response Form</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1C693B1B" w14:textId="77777777" w:rsidR="00BC1DAD" w:rsidRPr="00BC1DAD" w:rsidRDefault="00BC1DAD" w:rsidP="00EA30D0">
            <w:pPr>
              <w:spacing w:before="120" w:after="120"/>
              <w:jc w:val="center"/>
              <w:rPr>
                <w:rFonts w:cs="Arial"/>
                <w:sz w:val="22"/>
                <w:szCs w:val="22"/>
              </w:rPr>
            </w:pPr>
            <w:r w:rsidRPr="00BC1DAD">
              <w:rPr>
                <w:rFonts w:cs="Arial"/>
                <w:sz w:val="22"/>
                <w:szCs w:val="22"/>
              </w:rPr>
              <w:t>37</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74392FB6" w14:textId="56F6DAEC" w:rsidR="00BC1DAD" w:rsidRDefault="00BC1DAD" w:rsidP="00EA30D0">
            <w:pPr>
              <w:spacing w:before="120" w:after="120"/>
              <w:rPr>
                <w:rFonts w:cs="Arial"/>
                <w:sz w:val="22"/>
                <w:szCs w:val="22"/>
              </w:rPr>
            </w:pPr>
            <w:r w:rsidRPr="00BC1DAD">
              <w:rPr>
                <w:rFonts w:cs="Arial"/>
                <w:sz w:val="22"/>
                <w:szCs w:val="22"/>
              </w:rPr>
              <w:t xml:space="preserve">Point 3 provides </w:t>
            </w:r>
            <w:r w:rsidRPr="00BC1DAD">
              <w:rPr>
                <w:rFonts w:cs="Arial"/>
                <w:i/>
                <w:sz w:val="22"/>
                <w:szCs w:val="22"/>
              </w:rPr>
              <w:t>“Bidder agrees that it will, on an annual basis, confirm that the contact person’s for each FI is still accurate.”</w:t>
            </w:r>
            <w:r w:rsidRPr="00BC1DAD">
              <w:rPr>
                <w:rFonts w:cs="Arial"/>
                <w:sz w:val="22"/>
                <w:szCs w:val="22"/>
              </w:rPr>
              <w:t xml:space="preserve"> </w:t>
            </w:r>
          </w:p>
          <w:p w14:paraId="57398705" w14:textId="77777777" w:rsidR="00EA30D0" w:rsidRPr="00BC1DAD" w:rsidRDefault="00EA30D0" w:rsidP="00EA30D0">
            <w:pPr>
              <w:spacing w:before="120" w:after="120"/>
              <w:rPr>
                <w:rFonts w:cs="Arial"/>
                <w:sz w:val="22"/>
                <w:szCs w:val="22"/>
              </w:rPr>
            </w:pPr>
          </w:p>
          <w:p w14:paraId="50E840F8" w14:textId="77777777" w:rsidR="00BC1DAD" w:rsidRPr="00BC1DAD" w:rsidRDefault="00BC1DAD" w:rsidP="00EA30D0">
            <w:pPr>
              <w:spacing w:before="120" w:after="120"/>
              <w:rPr>
                <w:rFonts w:cs="Arial"/>
                <w:sz w:val="22"/>
                <w:szCs w:val="22"/>
              </w:rPr>
            </w:pPr>
            <w:r w:rsidRPr="00BC1DAD">
              <w:rPr>
                <w:rFonts w:cs="Arial"/>
                <w:sz w:val="22"/>
                <w:szCs w:val="22"/>
              </w:rPr>
              <w:t>Will the State provide bidder with a form annual to fulfill this requirement?</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13C00C3D" w14:textId="531A08EC" w:rsidR="00BC1DAD" w:rsidRPr="005E20EC" w:rsidRDefault="005E02FD" w:rsidP="00EA30D0">
            <w:pPr>
              <w:spacing w:before="120" w:after="120"/>
              <w:rPr>
                <w:rFonts w:cs="Arial"/>
                <w:b/>
                <w:bCs/>
                <w:sz w:val="22"/>
                <w:szCs w:val="22"/>
              </w:rPr>
            </w:pPr>
            <w:r>
              <w:rPr>
                <w:rFonts w:cs="Arial"/>
                <w:b/>
                <w:bCs/>
                <w:sz w:val="22"/>
                <w:szCs w:val="22"/>
              </w:rPr>
              <w:t>The Department</w:t>
            </w:r>
            <w:r w:rsidR="00BC1DAD" w:rsidRPr="00BC1DAD">
              <w:rPr>
                <w:rFonts w:cs="Arial"/>
                <w:b/>
                <w:bCs/>
                <w:sz w:val="22"/>
                <w:szCs w:val="22"/>
              </w:rPr>
              <w:t xml:space="preserve"> can and will work collaboratively with the new FIDM vendor to develop a form that meets the needs of both </w:t>
            </w:r>
            <w:r>
              <w:rPr>
                <w:rFonts w:cs="Arial"/>
                <w:b/>
                <w:bCs/>
                <w:sz w:val="22"/>
                <w:szCs w:val="22"/>
              </w:rPr>
              <w:t xml:space="preserve">the Department </w:t>
            </w:r>
            <w:r w:rsidR="00BC1DAD" w:rsidRPr="00BC1DAD">
              <w:rPr>
                <w:rFonts w:cs="Arial"/>
                <w:b/>
                <w:bCs/>
                <w:sz w:val="22"/>
                <w:szCs w:val="22"/>
              </w:rPr>
              <w:t>and the vendor.</w:t>
            </w:r>
          </w:p>
        </w:tc>
      </w:tr>
      <w:tr w:rsidR="007412FB" w:rsidRPr="00BC1DAD" w14:paraId="404DEA25"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6DC66FD8" w14:textId="55431A30" w:rsidR="00BC1DAD" w:rsidRPr="00BC1DAD" w:rsidRDefault="00BC1DAD" w:rsidP="00EA30D0">
            <w:pPr>
              <w:spacing w:before="120" w:after="120"/>
              <w:jc w:val="center"/>
              <w:rPr>
                <w:rFonts w:cs="Arial"/>
                <w:sz w:val="22"/>
                <w:szCs w:val="22"/>
              </w:rPr>
            </w:pPr>
            <w:r w:rsidRPr="00BC1DAD">
              <w:rPr>
                <w:rFonts w:cs="Arial"/>
                <w:sz w:val="22"/>
                <w:szCs w:val="22"/>
              </w:rPr>
              <w:t>1</w:t>
            </w:r>
            <w:r w:rsidR="009A42C6">
              <w:rPr>
                <w:rFonts w:cs="Arial"/>
                <w:sz w:val="22"/>
                <w:szCs w:val="22"/>
              </w:rPr>
              <w:t>3</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74992F31" w14:textId="1373F7AB" w:rsidR="00382AD9" w:rsidRPr="00382AD9" w:rsidRDefault="00382AD9" w:rsidP="00EA30D0">
            <w:pPr>
              <w:spacing w:before="120" w:after="120"/>
              <w:rPr>
                <w:rFonts w:cs="Arial"/>
                <w:b/>
                <w:bCs/>
                <w:sz w:val="20"/>
                <w:szCs w:val="20"/>
              </w:rPr>
            </w:pPr>
            <w:r w:rsidRPr="00382AD9">
              <w:rPr>
                <w:rFonts w:cs="Arial"/>
                <w:b/>
                <w:bCs/>
                <w:sz w:val="20"/>
                <w:szCs w:val="20"/>
              </w:rPr>
              <w:t>Exhibits</w:t>
            </w:r>
          </w:p>
          <w:p w14:paraId="61BFBEF4" w14:textId="77777777" w:rsidR="000C51F6" w:rsidRDefault="00BC1DAD" w:rsidP="00EA30D0">
            <w:pPr>
              <w:spacing w:before="120" w:after="120"/>
              <w:rPr>
                <w:rFonts w:cs="Arial"/>
                <w:sz w:val="20"/>
                <w:szCs w:val="20"/>
              </w:rPr>
            </w:pPr>
            <w:r w:rsidRPr="00BC1DAD">
              <w:rPr>
                <w:rFonts w:cs="Arial"/>
                <w:sz w:val="20"/>
                <w:szCs w:val="20"/>
              </w:rPr>
              <w:t xml:space="preserve">Exhibit A – </w:t>
            </w:r>
            <w:r w:rsidR="000C51F6">
              <w:rPr>
                <w:rFonts w:cs="Arial"/>
                <w:sz w:val="20"/>
                <w:szCs w:val="20"/>
              </w:rPr>
              <w:t>Preliminary Base Contract</w:t>
            </w:r>
          </w:p>
          <w:p w14:paraId="3BFC8D43" w14:textId="77777777" w:rsidR="00F6492D" w:rsidRDefault="000C51F6" w:rsidP="00EA30D0">
            <w:pPr>
              <w:spacing w:before="120" w:after="120"/>
              <w:rPr>
                <w:rFonts w:cs="Arial"/>
                <w:sz w:val="20"/>
                <w:szCs w:val="20"/>
              </w:rPr>
            </w:pPr>
            <w:r>
              <w:rPr>
                <w:rFonts w:cs="Arial"/>
                <w:sz w:val="20"/>
                <w:szCs w:val="20"/>
              </w:rPr>
              <w:t xml:space="preserve">Article III. </w:t>
            </w:r>
          </w:p>
          <w:p w14:paraId="501AD172" w14:textId="0D48C6BA" w:rsidR="000C51F6" w:rsidRDefault="000C51F6" w:rsidP="00EA30D0">
            <w:pPr>
              <w:spacing w:before="120" w:after="120"/>
              <w:rPr>
                <w:rFonts w:cs="Arial"/>
                <w:sz w:val="20"/>
                <w:szCs w:val="20"/>
              </w:rPr>
            </w:pPr>
            <w:r>
              <w:rPr>
                <w:rFonts w:cs="Arial"/>
                <w:sz w:val="20"/>
                <w:szCs w:val="20"/>
              </w:rPr>
              <w:t>Contractor Responsibilities</w:t>
            </w:r>
          </w:p>
          <w:p w14:paraId="70BD9545" w14:textId="6C4231DE" w:rsidR="00BC1DAD" w:rsidRPr="00BC1DAD" w:rsidRDefault="00BC1DAD" w:rsidP="00EA30D0">
            <w:pPr>
              <w:spacing w:before="120" w:after="120"/>
              <w:rPr>
                <w:rFonts w:cs="Arial"/>
                <w:sz w:val="20"/>
                <w:szCs w:val="20"/>
              </w:rPr>
            </w:pP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3414762C" w14:textId="45D7EE57" w:rsidR="00BC1DAD" w:rsidRPr="00BC1DAD" w:rsidRDefault="000C51F6" w:rsidP="00EA30D0">
            <w:pPr>
              <w:spacing w:before="120" w:after="120"/>
              <w:jc w:val="center"/>
              <w:rPr>
                <w:rFonts w:cs="Arial"/>
                <w:sz w:val="22"/>
                <w:szCs w:val="22"/>
              </w:rPr>
            </w:pPr>
            <w:r>
              <w:rPr>
                <w:rFonts w:cs="Arial"/>
                <w:sz w:val="22"/>
                <w:szCs w:val="22"/>
              </w:rPr>
              <w:t>5-</w:t>
            </w:r>
            <w:r w:rsidR="00BC1DAD" w:rsidRPr="00BC1DAD">
              <w:rPr>
                <w:rFonts w:cs="Arial"/>
                <w:sz w:val="22"/>
                <w:szCs w:val="22"/>
              </w:rPr>
              <w:t>6</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204E7107" w14:textId="282CE0D4" w:rsidR="00EA30D0" w:rsidRPr="00BC1DAD" w:rsidRDefault="00BC1DAD" w:rsidP="00EA30D0">
            <w:pPr>
              <w:spacing w:before="120" w:after="120"/>
              <w:rPr>
                <w:rFonts w:eastAsia="Calibri" w:cs="Arial"/>
                <w:sz w:val="22"/>
                <w:szCs w:val="22"/>
              </w:rPr>
            </w:pPr>
            <w:r w:rsidRPr="00BC1DAD">
              <w:rPr>
                <w:rFonts w:eastAsia="Calibri" w:cs="Arial"/>
                <w:sz w:val="22"/>
                <w:szCs w:val="22"/>
              </w:rPr>
              <w:t>Exhibit A to the RFP States “The Contractor will provide attorneys, if determined necessary by the Department, to respond to legal issues brought to the FIDM program by attorneys of the Financial Institutions (FIs)”</w:t>
            </w:r>
          </w:p>
          <w:p w14:paraId="10959EB9" w14:textId="195D37A8" w:rsidR="00EA30D0" w:rsidRPr="00BC1DAD" w:rsidRDefault="00BC1DAD" w:rsidP="00EA30D0">
            <w:pPr>
              <w:spacing w:before="120" w:after="120"/>
              <w:rPr>
                <w:rFonts w:cs="Arial"/>
                <w:sz w:val="22"/>
                <w:szCs w:val="22"/>
              </w:rPr>
            </w:pPr>
            <w:r w:rsidRPr="00BC1DAD">
              <w:rPr>
                <w:rFonts w:cs="Arial"/>
                <w:sz w:val="22"/>
                <w:szCs w:val="22"/>
              </w:rPr>
              <w:t xml:space="preserve">Will the State be willing to strike this provision as the Contractor is designated by the Commissioner as a vehicle to facilitate the FIDM process and therefore Contractor lacks the legal authority the State has to enforce participation in the FIDM program? </w:t>
            </w:r>
          </w:p>
          <w:p w14:paraId="7BF97EDE" w14:textId="6133C018" w:rsidR="00BC1DAD" w:rsidRPr="00BC1DAD" w:rsidRDefault="00BC1DAD" w:rsidP="00EA30D0">
            <w:pPr>
              <w:spacing w:before="120" w:after="120"/>
              <w:rPr>
                <w:rFonts w:cs="Arial"/>
                <w:sz w:val="22"/>
                <w:szCs w:val="22"/>
              </w:rPr>
            </w:pPr>
            <w:r w:rsidRPr="00BC1DAD">
              <w:rPr>
                <w:rFonts w:cs="Arial"/>
                <w:sz w:val="22"/>
                <w:szCs w:val="22"/>
              </w:rPr>
              <w:lastRenderedPageBreak/>
              <w:t>Additionally, will the State’s attorneys be involved in this process? What criteria will the State use in determining necessity?</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65992C85" w14:textId="77777777" w:rsidR="00BC1DAD" w:rsidRPr="00BC1DAD" w:rsidRDefault="00BC1DAD" w:rsidP="00EA30D0">
            <w:pPr>
              <w:spacing w:before="120" w:after="120"/>
              <w:rPr>
                <w:rFonts w:cs="Arial"/>
                <w:b/>
                <w:bCs/>
                <w:color w:val="323E4F"/>
                <w:sz w:val="22"/>
                <w:szCs w:val="22"/>
              </w:rPr>
            </w:pPr>
            <w:r w:rsidRPr="00BC1DAD">
              <w:rPr>
                <w:rFonts w:cs="Arial"/>
                <w:b/>
                <w:bCs/>
                <w:sz w:val="22"/>
                <w:szCs w:val="22"/>
              </w:rPr>
              <w:lastRenderedPageBreak/>
              <w:t>See Response to Question # 1.</w:t>
            </w:r>
          </w:p>
        </w:tc>
      </w:tr>
      <w:tr w:rsidR="007412FB" w:rsidRPr="00BC1DAD" w14:paraId="2F61E00E"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081C62A3" w14:textId="4BAC6C6E" w:rsidR="00BC1DAD" w:rsidRPr="00BC1DAD" w:rsidRDefault="00BC1DAD" w:rsidP="00EA30D0">
            <w:pPr>
              <w:spacing w:before="120" w:after="120"/>
              <w:jc w:val="center"/>
              <w:rPr>
                <w:rFonts w:cs="Arial"/>
                <w:sz w:val="22"/>
                <w:szCs w:val="22"/>
              </w:rPr>
            </w:pPr>
            <w:r w:rsidRPr="00BC1DAD">
              <w:rPr>
                <w:rFonts w:cs="Arial"/>
                <w:sz w:val="22"/>
                <w:szCs w:val="22"/>
              </w:rPr>
              <w:t>1</w:t>
            </w:r>
            <w:r w:rsidR="009A42C6">
              <w:rPr>
                <w:rFonts w:cs="Arial"/>
                <w:sz w:val="22"/>
                <w:szCs w:val="22"/>
              </w:rPr>
              <w:t>4</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2992D3F4" w14:textId="77777777" w:rsidR="00F6492D" w:rsidRPr="00382AD9" w:rsidRDefault="00F6492D" w:rsidP="00EA30D0">
            <w:pPr>
              <w:spacing w:before="120" w:after="120"/>
              <w:rPr>
                <w:rFonts w:cs="Arial"/>
                <w:b/>
                <w:bCs/>
                <w:sz w:val="20"/>
                <w:szCs w:val="20"/>
              </w:rPr>
            </w:pPr>
            <w:r w:rsidRPr="00382AD9">
              <w:rPr>
                <w:rFonts w:cs="Arial"/>
                <w:b/>
                <w:bCs/>
                <w:sz w:val="20"/>
                <w:szCs w:val="20"/>
              </w:rPr>
              <w:t>Exhibits</w:t>
            </w:r>
          </w:p>
          <w:p w14:paraId="00D9F0BD" w14:textId="77777777" w:rsidR="00F6492D" w:rsidRDefault="00F6492D" w:rsidP="00EA30D0">
            <w:pPr>
              <w:spacing w:before="120" w:after="120"/>
              <w:rPr>
                <w:rFonts w:cs="Arial"/>
                <w:sz w:val="20"/>
                <w:szCs w:val="20"/>
              </w:rPr>
            </w:pPr>
            <w:r w:rsidRPr="00BC1DAD">
              <w:rPr>
                <w:rFonts w:cs="Arial"/>
                <w:sz w:val="20"/>
                <w:szCs w:val="20"/>
              </w:rPr>
              <w:t xml:space="preserve">Exhibit A – </w:t>
            </w:r>
            <w:r>
              <w:rPr>
                <w:rFonts w:cs="Arial"/>
                <w:sz w:val="20"/>
                <w:szCs w:val="20"/>
              </w:rPr>
              <w:t>Preliminary Base Contract</w:t>
            </w:r>
          </w:p>
          <w:p w14:paraId="43F545DF" w14:textId="0FDC0405" w:rsidR="00F6492D" w:rsidRDefault="00F6492D" w:rsidP="00EA30D0">
            <w:pPr>
              <w:spacing w:before="120" w:after="120"/>
              <w:rPr>
                <w:rFonts w:cs="Arial"/>
                <w:sz w:val="20"/>
                <w:szCs w:val="20"/>
              </w:rPr>
            </w:pPr>
            <w:r>
              <w:rPr>
                <w:rFonts w:cs="Arial"/>
                <w:sz w:val="20"/>
                <w:szCs w:val="20"/>
              </w:rPr>
              <w:t xml:space="preserve">Article IX. </w:t>
            </w:r>
          </w:p>
          <w:p w14:paraId="0692EC8A" w14:textId="35F71C70" w:rsidR="00F6492D" w:rsidRDefault="00F6492D" w:rsidP="00EA30D0">
            <w:pPr>
              <w:spacing w:before="120" w:after="120"/>
              <w:rPr>
                <w:rFonts w:cs="Arial"/>
                <w:sz w:val="20"/>
                <w:szCs w:val="20"/>
              </w:rPr>
            </w:pPr>
            <w:r>
              <w:rPr>
                <w:rFonts w:cs="Arial"/>
                <w:sz w:val="20"/>
                <w:szCs w:val="20"/>
              </w:rPr>
              <w:t>Ownership and Return of the State’s Data</w:t>
            </w:r>
          </w:p>
          <w:p w14:paraId="4400CED9" w14:textId="640ACC34" w:rsidR="00BC1DAD" w:rsidRPr="00BC1DAD" w:rsidRDefault="00BC1DAD" w:rsidP="00EA30D0">
            <w:pPr>
              <w:spacing w:before="120" w:after="120"/>
              <w:rPr>
                <w:rFonts w:cs="Arial"/>
                <w:sz w:val="20"/>
                <w:szCs w:val="20"/>
              </w:rPr>
            </w:pP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6E0C272E" w14:textId="77777777" w:rsidR="00BC1DAD" w:rsidRPr="00BC1DAD" w:rsidRDefault="00BC1DAD" w:rsidP="00EA30D0">
            <w:pPr>
              <w:spacing w:before="120" w:after="120"/>
              <w:jc w:val="center"/>
              <w:rPr>
                <w:rFonts w:cs="Arial"/>
                <w:sz w:val="22"/>
                <w:szCs w:val="22"/>
              </w:rPr>
            </w:pPr>
            <w:r w:rsidRPr="00BC1DAD">
              <w:rPr>
                <w:rFonts w:cs="Arial"/>
                <w:sz w:val="22"/>
                <w:szCs w:val="22"/>
              </w:rPr>
              <w:t>12</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2DB1FE34" w14:textId="5CB9F2B7" w:rsidR="00BC1DAD" w:rsidRPr="00BC1DAD" w:rsidRDefault="00BC1DAD" w:rsidP="00EA30D0">
            <w:pPr>
              <w:spacing w:before="120" w:after="120"/>
              <w:rPr>
                <w:rFonts w:cs="Arial"/>
                <w:sz w:val="22"/>
                <w:szCs w:val="22"/>
              </w:rPr>
            </w:pPr>
            <w:r w:rsidRPr="00BC1DAD">
              <w:rPr>
                <w:rFonts w:cs="Arial"/>
                <w:sz w:val="22"/>
                <w:szCs w:val="22"/>
              </w:rPr>
              <w:t xml:space="preserve">Bidder respectfully requests that the State amend the first paragraph of this section to clarify bidder’s ownership of proprietary material.  This clarification is necessary to provide bidder a reasonable protection of its proprietary material used in connection with this project. Please see below the suggested language to address this concern: </w:t>
            </w:r>
          </w:p>
          <w:p w14:paraId="2071E87C" w14:textId="77777777" w:rsidR="00BC1DAD" w:rsidRPr="00BC1DAD" w:rsidRDefault="00BC1DAD" w:rsidP="00EA30D0">
            <w:pPr>
              <w:spacing w:before="120" w:after="120"/>
              <w:rPr>
                <w:rFonts w:eastAsia="Calibri" w:cs="Arial"/>
                <w:sz w:val="22"/>
                <w:szCs w:val="22"/>
              </w:rPr>
            </w:pPr>
            <w:r w:rsidRPr="00BC1DAD">
              <w:rPr>
                <w:rFonts w:cs="Arial"/>
                <w:i/>
                <w:sz w:val="22"/>
                <w:szCs w:val="22"/>
              </w:rPr>
              <w:t>“</w:t>
            </w:r>
            <w:r w:rsidRPr="00BC1DAD">
              <w:rPr>
                <w:rFonts w:eastAsia="Calibri" w:cs="Arial"/>
                <w:bCs/>
                <w:i/>
                <w:sz w:val="22"/>
                <w:szCs w:val="22"/>
              </w:rPr>
              <w:t xml:space="preserve">The State retains sole ownership and intellectual property rights in and to all information, data, databases, data compilations, reports, charts, graphs, diagrams, or other information provided or made accessible by the State to the Contractor, or created by the Contractor pursuant to the Agreement, </w:t>
            </w:r>
            <w:r w:rsidRPr="00BC1DAD">
              <w:rPr>
                <w:rFonts w:eastAsia="Calibri" w:cs="Arial"/>
                <w:bCs/>
                <w:i/>
                <w:sz w:val="22"/>
                <w:szCs w:val="22"/>
                <w:u w:val="single"/>
              </w:rPr>
              <w:t>except for Contractor’s prior proprietary, trademarked or patented materials, even if utilized for this project. The State shall not have any residual rights to said materials beyond this Agreement.”</w:t>
            </w:r>
            <w:r w:rsidRPr="00BC1DAD">
              <w:rPr>
                <w:rFonts w:eastAsia="Calibri" w:cs="Arial"/>
                <w:bCs/>
                <w:sz w:val="22"/>
                <w:szCs w:val="22"/>
              </w:rPr>
              <w:t xml:space="preserve">  </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70635FDF" w14:textId="77777777" w:rsidR="00BC1DAD" w:rsidRPr="00BC1DAD" w:rsidRDefault="00BC1DAD" w:rsidP="00EA30D0">
            <w:pPr>
              <w:spacing w:before="120" w:after="120"/>
              <w:rPr>
                <w:rFonts w:cs="Arial"/>
                <w:b/>
                <w:bCs/>
                <w:color w:val="7B7B7B"/>
                <w:sz w:val="22"/>
                <w:szCs w:val="22"/>
              </w:rPr>
            </w:pPr>
            <w:r w:rsidRPr="00BC1DAD">
              <w:rPr>
                <w:rFonts w:cs="Arial"/>
                <w:b/>
                <w:bCs/>
                <w:sz w:val="22"/>
                <w:szCs w:val="22"/>
              </w:rPr>
              <w:t>The Department declines to amend the Preliminary Base Contract at this time. Per Section 6.2.18 of the RFP, Bidders are allowed to provide non-material proposed changes to the Preliminary Base Contract with their proposal submission.</w:t>
            </w:r>
          </w:p>
        </w:tc>
      </w:tr>
      <w:tr w:rsidR="007412FB" w:rsidRPr="00BC1DAD" w14:paraId="7375AC4E"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58DD3E3E" w14:textId="1CF25017" w:rsidR="00BC1DAD" w:rsidRPr="00BC1DAD" w:rsidRDefault="00BC1DAD" w:rsidP="00EA30D0">
            <w:pPr>
              <w:spacing w:before="120" w:after="120"/>
              <w:jc w:val="center"/>
              <w:rPr>
                <w:rFonts w:cs="Arial"/>
                <w:sz w:val="22"/>
                <w:szCs w:val="22"/>
              </w:rPr>
            </w:pPr>
            <w:r w:rsidRPr="00BC1DAD">
              <w:rPr>
                <w:rFonts w:cs="Arial"/>
                <w:sz w:val="22"/>
                <w:szCs w:val="22"/>
              </w:rPr>
              <w:t>1</w:t>
            </w:r>
            <w:r w:rsidR="009A42C6">
              <w:rPr>
                <w:rFonts w:cs="Arial"/>
                <w:sz w:val="22"/>
                <w:szCs w:val="22"/>
              </w:rPr>
              <w:t>5</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7911CEF4" w14:textId="77777777" w:rsidR="00382AD9" w:rsidRPr="00382AD9" w:rsidRDefault="00382AD9" w:rsidP="00EA30D0">
            <w:pPr>
              <w:spacing w:before="120" w:after="120"/>
              <w:rPr>
                <w:rFonts w:cs="Arial"/>
                <w:b/>
                <w:bCs/>
                <w:sz w:val="20"/>
                <w:szCs w:val="20"/>
              </w:rPr>
            </w:pPr>
            <w:r w:rsidRPr="00382AD9">
              <w:rPr>
                <w:rFonts w:cs="Arial"/>
                <w:b/>
                <w:bCs/>
                <w:sz w:val="20"/>
                <w:szCs w:val="20"/>
              </w:rPr>
              <w:t>Exhibits</w:t>
            </w:r>
          </w:p>
          <w:p w14:paraId="3A7FA92D" w14:textId="1D632BE5" w:rsidR="00F6492D" w:rsidRDefault="00BC1DAD" w:rsidP="00EA30D0">
            <w:pPr>
              <w:spacing w:before="120" w:after="120"/>
              <w:rPr>
                <w:rFonts w:cs="Arial"/>
                <w:sz w:val="20"/>
                <w:szCs w:val="20"/>
              </w:rPr>
            </w:pPr>
            <w:r w:rsidRPr="00BC1DAD">
              <w:rPr>
                <w:rFonts w:cs="Arial"/>
                <w:sz w:val="20"/>
                <w:szCs w:val="20"/>
              </w:rPr>
              <w:t xml:space="preserve">Exhibit A – </w:t>
            </w:r>
            <w:r w:rsidR="00F6492D">
              <w:rPr>
                <w:rFonts w:cs="Arial"/>
                <w:sz w:val="20"/>
                <w:szCs w:val="20"/>
              </w:rPr>
              <w:t>Preliminary Base Contract</w:t>
            </w:r>
          </w:p>
          <w:p w14:paraId="42713D0D" w14:textId="77777777" w:rsidR="00BC1DAD" w:rsidRDefault="00BC1DAD" w:rsidP="00EA30D0">
            <w:pPr>
              <w:spacing w:before="120" w:after="120"/>
              <w:rPr>
                <w:rFonts w:cs="Arial"/>
                <w:sz w:val="20"/>
                <w:szCs w:val="20"/>
              </w:rPr>
            </w:pPr>
            <w:r w:rsidRPr="00BC1DAD">
              <w:rPr>
                <w:rFonts w:cs="Arial"/>
                <w:sz w:val="20"/>
                <w:szCs w:val="20"/>
              </w:rPr>
              <w:t xml:space="preserve">Article </w:t>
            </w:r>
            <w:r w:rsidR="00F6492D">
              <w:rPr>
                <w:rFonts w:cs="Arial"/>
                <w:sz w:val="20"/>
                <w:szCs w:val="20"/>
              </w:rPr>
              <w:t>X.</w:t>
            </w:r>
          </w:p>
          <w:p w14:paraId="3AA9C377" w14:textId="79B2E9C3" w:rsidR="00F6492D" w:rsidRPr="00BC1DAD" w:rsidRDefault="00F6492D" w:rsidP="00EA30D0">
            <w:pPr>
              <w:spacing w:before="120" w:after="120"/>
              <w:rPr>
                <w:rFonts w:cs="Arial"/>
                <w:sz w:val="20"/>
                <w:szCs w:val="20"/>
              </w:rPr>
            </w:pPr>
            <w:r>
              <w:rPr>
                <w:rFonts w:cs="Arial"/>
                <w:sz w:val="20"/>
                <w:szCs w:val="20"/>
              </w:rPr>
              <w:t>Reserved Rights</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1DBC7823" w14:textId="77777777" w:rsidR="00BC1DAD" w:rsidRPr="00BC1DAD" w:rsidRDefault="00BC1DAD" w:rsidP="00EA30D0">
            <w:pPr>
              <w:spacing w:before="120" w:after="120"/>
              <w:jc w:val="center"/>
              <w:rPr>
                <w:rFonts w:cs="Arial"/>
                <w:sz w:val="22"/>
                <w:szCs w:val="22"/>
              </w:rPr>
            </w:pPr>
            <w:r w:rsidRPr="00BC1DAD">
              <w:rPr>
                <w:rFonts w:cs="Arial"/>
                <w:sz w:val="22"/>
                <w:szCs w:val="22"/>
              </w:rPr>
              <w:t>13</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26FDA43D" w14:textId="64A13E2E" w:rsidR="00BC1DAD" w:rsidRPr="00BC1DAD" w:rsidRDefault="00BC1DAD" w:rsidP="00EA30D0">
            <w:pPr>
              <w:spacing w:before="120" w:after="120"/>
              <w:rPr>
                <w:rFonts w:cs="Arial"/>
                <w:sz w:val="22"/>
                <w:szCs w:val="22"/>
              </w:rPr>
            </w:pPr>
            <w:r w:rsidRPr="00BC1DAD">
              <w:rPr>
                <w:rFonts w:cs="Arial"/>
                <w:sz w:val="22"/>
                <w:szCs w:val="22"/>
              </w:rPr>
              <w:t xml:space="preserve">Bidder respectfully requests that the State amend point 4 to more clearly define the scope of access to personnel and records: </w:t>
            </w:r>
          </w:p>
          <w:p w14:paraId="6B9286C2" w14:textId="77777777" w:rsidR="00BC1DAD" w:rsidRPr="00BC1DAD" w:rsidRDefault="00BC1DAD" w:rsidP="00EA30D0">
            <w:pPr>
              <w:spacing w:before="120" w:after="120"/>
              <w:rPr>
                <w:rFonts w:cs="Arial"/>
                <w:sz w:val="22"/>
                <w:szCs w:val="22"/>
              </w:rPr>
            </w:pPr>
            <w:r w:rsidRPr="00BC1DAD">
              <w:rPr>
                <w:rFonts w:cs="Arial"/>
                <w:i/>
                <w:sz w:val="22"/>
                <w:szCs w:val="22"/>
              </w:rPr>
              <w:t xml:space="preserve">“To terminate the Agreement should the Contractor not cooperate with a State investigation.  This includes, but is not limited to, not providing </w:t>
            </w:r>
            <w:r w:rsidRPr="00BC1DAD">
              <w:rPr>
                <w:rFonts w:cs="Arial"/>
                <w:i/>
                <w:strike/>
                <w:sz w:val="22"/>
                <w:szCs w:val="22"/>
              </w:rPr>
              <w:t>immediate and unfettered</w:t>
            </w:r>
            <w:r w:rsidRPr="00BC1DAD">
              <w:rPr>
                <w:rFonts w:cs="Arial"/>
                <w:i/>
                <w:sz w:val="22"/>
                <w:szCs w:val="22"/>
              </w:rPr>
              <w:t xml:space="preserve"> access to personnel and records relating to this Agreement, </w:t>
            </w:r>
            <w:r w:rsidRPr="00BC1DAD">
              <w:rPr>
                <w:rFonts w:cs="Arial"/>
                <w:i/>
                <w:sz w:val="22"/>
                <w:szCs w:val="22"/>
                <w:u w:val="single"/>
              </w:rPr>
              <w:t>as set forth in this Agreement</w:t>
            </w:r>
            <w:r w:rsidRPr="00BC1DAD">
              <w:rPr>
                <w:rFonts w:cs="Arial"/>
                <w:i/>
                <w:sz w:val="22"/>
                <w:szCs w:val="22"/>
              </w:rPr>
              <w:t>.”</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02E70349" w14:textId="77777777" w:rsidR="00BC1DAD" w:rsidRPr="00BC1DAD" w:rsidRDefault="00BC1DAD" w:rsidP="00EA30D0">
            <w:pPr>
              <w:spacing w:before="120" w:after="120"/>
              <w:rPr>
                <w:rFonts w:cs="Arial"/>
                <w:b/>
                <w:bCs/>
                <w:color w:val="7B7B7B"/>
                <w:sz w:val="22"/>
                <w:szCs w:val="22"/>
              </w:rPr>
            </w:pPr>
            <w:r w:rsidRPr="00BC1DAD">
              <w:rPr>
                <w:rFonts w:cs="Arial"/>
                <w:b/>
                <w:bCs/>
                <w:sz w:val="22"/>
                <w:szCs w:val="22"/>
              </w:rPr>
              <w:t>The Department declines to amend the Preliminary Base Contract at this time. Per Section 6.2.18 of the RFP, Bidders are allowed to provide non-material proposed changes to the Preliminary Base Contract with their proposal submission.</w:t>
            </w:r>
          </w:p>
        </w:tc>
      </w:tr>
      <w:tr w:rsidR="007412FB" w:rsidRPr="00BC1DAD" w14:paraId="5F6A8A52"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046033AA" w14:textId="27FDD9D7" w:rsidR="00BC1DAD" w:rsidRPr="00BC1DAD" w:rsidRDefault="00BC1DAD" w:rsidP="00EA30D0">
            <w:pPr>
              <w:spacing w:before="120" w:after="120"/>
              <w:jc w:val="center"/>
              <w:rPr>
                <w:rFonts w:cs="Arial"/>
                <w:sz w:val="22"/>
                <w:szCs w:val="22"/>
              </w:rPr>
            </w:pPr>
            <w:r w:rsidRPr="00BC1DAD">
              <w:rPr>
                <w:rFonts w:cs="Arial"/>
                <w:sz w:val="22"/>
                <w:szCs w:val="22"/>
              </w:rPr>
              <w:lastRenderedPageBreak/>
              <w:t>1</w:t>
            </w:r>
            <w:r w:rsidR="009A42C6">
              <w:rPr>
                <w:rFonts w:cs="Arial"/>
                <w:sz w:val="22"/>
                <w:szCs w:val="22"/>
              </w:rPr>
              <w:t>6</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14569AAA" w14:textId="77777777" w:rsidR="00F6492D" w:rsidRPr="00382AD9" w:rsidRDefault="00F6492D" w:rsidP="00EA30D0">
            <w:pPr>
              <w:spacing w:before="120" w:after="120"/>
              <w:rPr>
                <w:rFonts w:cs="Arial"/>
                <w:b/>
                <w:bCs/>
                <w:sz w:val="20"/>
                <w:szCs w:val="20"/>
              </w:rPr>
            </w:pPr>
            <w:r w:rsidRPr="00382AD9">
              <w:rPr>
                <w:rFonts w:cs="Arial"/>
                <w:b/>
                <w:bCs/>
                <w:sz w:val="20"/>
                <w:szCs w:val="20"/>
              </w:rPr>
              <w:t>Exhibits</w:t>
            </w:r>
          </w:p>
          <w:p w14:paraId="74132745" w14:textId="5C03EB35" w:rsidR="00F6492D" w:rsidRDefault="00F6492D" w:rsidP="00EA30D0">
            <w:pPr>
              <w:spacing w:before="120" w:after="120"/>
              <w:rPr>
                <w:rFonts w:cs="Arial"/>
                <w:sz w:val="20"/>
                <w:szCs w:val="20"/>
              </w:rPr>
            </w:pPr>
            <w:r w:rsidRPr="00BC1DAD">
              <w:rPr>
                <w:rFonts w:cs="Arial"/>
                <w:sz w:val="20"/>
                <w:szCs w:val="20"/>
              </w:rPr>
              <w:t xml:space="preserve">Exhibit A – </w:t>
            </w:r>
            <w:r>
              <w:rPr>
                <w:rFonts w:cs="Arial"/>
                <w:sz w:val="20"/>
                <w:szCs w:val="20"/>
              </w:rPr>
              <w:t>Preliminary Base Contract</w:t>
            </w:r>
          </w:p>
          <w:p w14:paraId="01174C73" w14:textId="7946BE28" w:rsidR="00BC1DAD" w:rsidRDefault="00BC1DAD" w:rsidP="00EA30D0">
            <w:pPr>
              <w:spacing w:before="120" w:after="120"/>
              <w:rPr>
                <w:rFonts w:cs="Arial"/>
                <w:sz w:val="20"/>
                <w:szCs w:val="20"/>
              </w:rPr>
            </w:pPr>
            <w:r w:rsidRPr="00BC1DAD">
              <w:rPr>
                <w:rFonts w:cs="Arial"/>
                <w:sz w:val="20"/>
                <w:szCs w:val="20"/>
              </w:rPr>
              <w:t>Article XV</w:t>
            </w:r>
            <w:r w:rsidR="00F6492D">
              <w:rPr>
                <w:rFonts w:cs="Arial"/>
                <w:sz w:val="20"/>
                <w:szCs w:val="20"/>
              </w:rPr>
              <w:t>.</w:t>
            </w:r>
          </w:p>
          <w:p w14:paraId="79AAA698" w14:textId="2CA35A88" w:rsidR="00EA30D0" w:rsidRPr="00BC1DAD" w:rsidRDefault="00F6492D" w:rsidP="00EA30D0">
            <w:pPr>
              <w:spacing w:before="120" w:after="120"/>
              <w:rPr>
                <w:rFonts w:cs="Arial"/>
                <w:sz w:val="20"/>
                <w:szCs w:val="20"/>
              </w:rPr>
            </w:pPr>
            <w:r>
              <w:rPr>
                <w:rFonts w:cs="Arial"/>
                <w:sz w:val="20"/>
                <w:szCs w:val="20"/>
              </w:rPr>
              <w:t>Termination</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22C60B02" w14:textId="7090EBA8" w:rsidR="00BC1DAD" w:rsidRPr="00BC1DAD" w:rsidRDefault="00F6492D" w:rsidP="00EA30D0">
            <w:pPr>
              <w:spacing w:before="120" w:after="120"/>
              <w:jc w:val="center"/>
              <w:rPr>
                <w:rFonts w:cs="Arial"/>
                <w:sz w:val="22"/>
                <w:szCs w:val="22"/>
              </w:rPr>
            </w:pPr>
            <w:r>
              <w:rPr>
                <w:rFonts w:cs="Arial"/>
                <w:sz w:val="22"/>
                <w:szCs w:val="22"/>
              </w:rPr>
              <w:t>20-</w:t>
            </w:r>
            <w:r w:rsidR="00BC1DAD" w:rsidRPr="00BC1DAD">
              <w:rPr>
                <w:rFonts w:cs="Arial"/>
                <w:sz w:val="22"/>
                <w:szCs w:val="22"/>
              </w:rPr>
              <w:t>22</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572328F5" w14:textId="18DB538A" w:rsidR="00F6492D" w:rsidRPr="00BC1DAD" w:rsidRDefault="00BC1DAD" w:rsidP="00EA30D0">
            <w:pPr>
              <w:spacing w:before="120" w:after="120"/>
              <w:rPr>
                <w:rFonts w:cs="Arial"/>
                <w:sz w:val="22"/>
                <w:szCs w:val="22"/>
              </w:rPr>
            </w:pPr>
            <w:r w:rsidRPr="00BC1DAD">
              <w:rPr>
                <w:rFonts w:cs="Arial"/>
                <w:sz w:val="22"/>
                <w:szCs w:val="22"/>
              </w:rPr>
              <w:t>Subsection A.2.j provides that a material breach for which there is no cure period includes where “Contractor fails to submit and/or use such MWBE Utilization Plan, if applicable.</w:t>
            </w:r>
          </w:p>
          <w:p w14:paraId="325C7A87" w14:textId="77777777" w:rsidR="00BC1DAD" w:rsidRPr="00BC1DAD" w:rsidRDefault="00BC1DAD" w:rsidP="00EA30D0">
            <w:pPr>
              <w:spacing w:before="120" w:after="120"/>
              <w:rPr>
                <w:rFonts w:cs="Arial"/>
                <w:sz w:val="22"/>
                <w:szCs w:val="22"/>
              </w:rPr>
            </w:pPr>
            <w:r w:rsidRPr="00BC1DAD">
              <w:rPr>
                <w:rFonts w:cs="Arial"/>
                <w:sz w:val="22"/>
                <w:szCs w:val="22"/>
              </w:rPr>
              <w:t>Since there is no MWBE requirement in this RFP, is a MWBE Utilization Plan required?</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325AC5FF" w14:textId="77777777" w:rsidR="00BC1DAD" w:rsidRPr="00BC1DAD" w:rsidRDefault="00BC1DAD" w:rsidP="00EA30D0">
            <w:pPr>
              <w:spacing w:before="120" w:after="120"/>
              <w:rPr>
                <w:rFonts w:cs="Arial"/>
                <w:b/>
                <w:bCs/>
                <w:color w:val="7B7B7B"/>
                <w:sz w:val="22"/>
                <w:szCs w:val="22"/>
              </w:rPr>
            </w:pPr>
            <w:r w:rsidRPr="00BC1DAD">
              <w:rPr>
                <w:rFonts w:cs="Arial"/>
                <w:b/>
                <w:bCs/>
                <w:sz w:val="22"/>
                <w:szCs w:val="22"/>
              </w:rPr>
              <w:t>The Department confirms that a MWBE Utilization Plan is not required to be submitted.</w:t>
            </w:r>
          </w:p>
        </w:tc>
      </w:tr>
      <w:tr w:rsidR="007412FB" w:rsidRPr="00BC1DAD" w14:paraId="3EAC0219"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15495EF5" w14:textId="61166988" w:rsidR="00BC1DAD" w:rsidRPr="00BC1DAD" w:rsidRDefault="00BC1DAD" w:rsidP="00EA30D0">
            <w:pPr>
              <w:spacing w:before="120" w:after="120"/>
              <w:jc w:val="center"/>
              <w:rPr>
                <w:rFonts w:cs="Arial"/>
                <w:sz w:val="22"/>
                <w:szCs w:val="22"/>
              </w:rPr>
            </w:pPr>
            <w:r w:rsidRPr="00BC1DAD">
              <w:rPr>
                <w:rFonts w:cs="Arial"/>
                <w:sz w:val="22"/>
                <w:szCs w:val="22"/>
              </w:rPr>
              <w:t>1</w:t>
            </w:r>
            <w:r w:rsidR="009A42C6">
              <w:rPr>
                <w:rFonts w:cs="Arial"/>
                <w:sz w:val="22"/>
                <w:szCs w:val="22"/>
              </w:rPr>
              <w:t>7</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1DD68678" w14:textId="77777777" w:rsidR="00F6492D" w:rsidRPr="00382AD9" w:rsidRDefault="00F6492D" w:rsidP="00EA30D0">
            <w:pPr>
              <w:spacing w:before="120" w:after="120"/>
              <w:rPr>
                <w:rFonts w:cs="Arial"/>
                <w:b/>
                <w:bCs/>
                <w:sz w:val="20"/>
                <w:szCs w:val="20"/>
              </w:rPr>
            </w:pPr>
            <w:r w:rsidRPr="00382AD9">
              <w:rPr>
                <w:rFonts w:cs="Arial"/>
                <w:b/>
                <w:bCs/>
                <w:sz w:val="20"/>
                <w:szCs w:val="20"/>
              </w:rPr>
              <w:t>Exhibits</w:t>
            </w:r>
          </w:p>
          <w:p w14:paraId="4B52CFCC" w14:textId="78D9F11D" w:rsidR="00F6492D" w:rsidRDefault="00F6492D" w:rsidP="00EA30D0">
            <w:pPr>
              <w:spacing w:before="120" w:after="120"/>
              <w:rPr>
                <w:rFonts w:cs="Arial"/>
                <w:sz w:val="20"/>
                <w:szCs w:val="20"/>
              </w:rPr>
            </w:pPr>
            <w:r w:rsidRPr="00BC1DAD">
              <w:rPr>
                <w:rFonts w:cs="Arial"/>
                <w:sz w:val="20"/>
                <w:szCs w:val="20"/>
              </w:rPr>
              <w:t xml:space="preserve">Exhibit A – </w:t>
            </w:r>
            <w:r>
              <w:rPr>
                <w:rFonts w:cs="Arial"/>
                <w:sz w:val="20"/>
                <w:szCs w:val="20"/>
              </w:rPr>
              <w:t>Preliminary Base Contract</w:t>
            </w:r>
          </w:p>
          <w:p w14:paraId="4ECEDDDB" w14:textId="77777777" w:rsidR="00F6492D" w:rsidRDefault="00BC1DAD" w:rsidP="00EA30D0">
            <w:pPr>
              <w:spacing w:before="120" w:after="120"/>
              <w:rPr>
                <w:rFonts w:cs="Arial"/>
                <w:sz w:val="20"/>
                <w:szCs w:val="20"/>
              </w:rPr>
            </w:pPr>
            <w:r w:rsidRPr="00BC1DAD">
              <w:rPr>
                <w:rFonts w:cs="Arial"/>
                <w:sz w:val="20"/>
                <w:szCs w:val="20"/>
              </w:rPr>
              <w:t>Article XVI</w:t>
            </w:r>
            <w:r w:rsidR="00F6492D">
              <w:rPr>
                <w:rFonts w:cs="Arial"/>
                <w:sz w:val="20"/>
                <w:szCs w:val="20"/>
              </w:rPr>
              <w:t>.</w:t>
            </w:r>
          </w:p>
          <w:p w14:paraId="3ACC9773" w14:textId="7122057B" w:rsidR="00BC1DAD" w:rsidRPr="00BC1DAD" w:rsidRDefault="00F6492D" w:rsidP="00EA30D0">
            <w:pPr>
              <w:spacing w:before="120" w:after="120"/>
              <w:rPr>
                <w:rFonts w:cs="Arial"/>
                <w:sz w:val="20"/>
                <w:szCs w:val="20"/>
              </w:rPr>
            </w:pPr>
            <w:r>
              <w:rPr>
                <w:rFonts w:cs="Arial"/>
                <w:sz w:val="20"/>
                <w:szCs w:val="20"/>
              </w:rPr>
              <w:t>Indemnification and Limitation of Liability</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55DAE454" w14:textId="77777777" w:rsidR="00BC1DAD" w:rsidRPr="00BC1DAD" w:rsidRDefault="00BC1DAD" w:rsidP="00EA30D0">
            <w:pPr>
              <w:spacing w:before="120" w:after="120"/>
              <w:jc w:val="center"/>
              <w:rPr>
                <w:rFonts w:cs="Arial"/>
                <w:sz w:val="22"/>
                <w:szCs w:val="22"/>
              </w:rPr>
            </w:pPr>
            <w:r w:rsidRPr="00BC1DAD">
              <w:rPr>
                <w:rFonts w:cs="Arial"/>
                <w:sz w:val="22"/>
                <w:szCs w:val="22"/>
              </w:rPr>
              <w:t>23</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2CC5FD6F" w14:textId="48CF32B7" w:rsidR="00BC1DAD" w:rsidRPr="00BC1DAD" w:rsidRDefault="00BC1DAD" w:rsidP="00EA30D0">
            <w:pPr>
              <w:spacing w:before="120" w:after="120"/>
              <w:rPr>
                <w:rFonts w:cs="Arial"/>
                <w:sz w:val="22"/>
                <w:szCs w:val="22"/>
              </w:rPr>
            </w:pPr>
            <w:r w:rsidRPr="00BC1DAD">
              <w:rPr>
                <w:rFonts w:cs="Arial"/>
                <w:sz w:val="22"/>
                <w:szCs w:val="22"/>
              </w:rPr>
              <w:t xml:space="preserve">Bidder respectfully requests that the State amend                                                                                                the last sentence of the first paragraph of Section A. to clarify that bidder shall not be required to indemnify the State if the liability was caused by actions outside the bidder’s control. This exception is necessary to allow bidder a controlled and reasonable risk management approach to the Agreement and the services provided by bidder: </w:t>
            </w:r>
          </w:p>
          <w:p w14:paraId="4298592D" w14:textId="77777777" w:rsidR="00BC1DAD" w:rsidRPr="00BC1DAD" w:rsidRDefault="00BC1DAD" w:rsidP="00EA30D0">
            <w:pPr>
              <w:spacing w:before="120" w:after="120"/>
              <w:rPr>
                <w:rFonts w:cs="Arial"/>
                <w:sz w:val="22"/>
                <w:szCs w:val="22"/>
              </w:rPr>
            </w:pPr>
            <w:r w:rsidRPr="00BC1DAD">
              <w:rPr>
                <w:rFonts w:cs="Arial"/>
                <w:i/>
                <w:sz w:val="22"/>
                <w:szCs w:val="22"/>
              </w:rPr>
              <w:t xml:space="preserve">“Contractor shall not be obligated to defend or indemnify </w:t>
            </w:r>
            <w:r w:rsidRPr="00BC1DAD">
              <w:rPr>
                <w:rFonts w:cs="Arial"/>
                <w:i/>
                <w:strike/>
                <w:sz w:val="22"/>
                <w:szCs w:val="22"/>
              </w:rPr>
              <w:t>to the extent</w:t>
            </w:r>
            <w:r w:rsidRPr="00BC1DAD">
              <w:rPr>
                <w:rFonts w:cs="Arial"/>
                <w:i/>
                <w:sz w:val="22"/>
                <w:szCs w:val="22"/>
              </w:rPr>
              <w:t xml:space="preserve"> </w:t>
            </w:r>
            <w:r w:rsidRPr="00BC1DAD">
              <w:rPr>
                <w:rFonts w:cs="Arial"/>
                <w:i/>
                <w:sz w:val="22"/>
                <w:szCs w:val="22"/>
                <w:u w:val="single"/>
              </w:rPr>
              <w:t>for that portion of</w:t>
            </w:r>
            <w:r w:rsidRPr="00BC1DAD">
              <w:rPr>
                <w:rFonts w:cs="Arial"/>
                <w:i/>
                <w:sz w:val="22"/>
                <w:szCs w:val="22"/>
              </w:rPr>
              <w:t xml:space="preserve"> any claim, loss or damage arising hereunder is solely due to the negligence or willful misconduct of the DTF.”</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4A69248D" w14:textId="77777777" w:rsidR="00BC1DAD" w:rsidRPr="00BC1DAD" w:rsidRDefault="00BC1DAD" w:rsidP="00EA30D0">
            <w:pPr>
              <w:spacing w:before="120" w:after="120"/>
              <w:rPr>
                <w:rFonts w:cs="Arial"/>
                <w:b/>
                <w:bCs/>
                <w:color w:val="7B7B7B"/>
                <w:sz w:val="22"/>
                <w:szCs w:val="22"/>
              </w:rPr>
            </w:pPr>
            <w:r w:rsidRPr="00BC1DAD">
              <w:rPr>
                <w:rFonts w:cs="Arial"/>
                <w:b/>
                <w:bCs/>
                <w:sz w:val="22"/>
                <w:szCs w:val="22"/>
              </w:rPr>
              <w:t>The Department declines to amend the Preliminary Base Contract at this time. Per Section 6.2.18 of the RFP, Bidders are allowed to provide non-material proposed changes to the Preliminary Base Contract with their proposal submission.</w:t>
            </w:r>
          </w:p>
        </w:tc>
      </w:tr>
      <w:tr w:rsidR="007412FB" w:rsidRPr="00BC1DAD" w14:paraId="6F136065"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67D960DB" w14:textId="07606501" w:rsidR="00BC1DAD" w:rsidRPr="00BC1DAD" w:rsidRDefault="00BC1DAD" w:rsidP="00EA30D0">
            <w:pPr>
              <w:spacing w:before="120" w:after="120"/>
              <w:jc w:val="center"/>
              <w:rPr>
                <w:rFonts w:cs="Arial"/>
                <w:sz w:val="22"/>
                <w:szCs w:val="22"/>
              </w:rPr>
            </w:pPr>
            <w:r w:rsidRPr="00BC1DAD">
              <w:rPr>
                <w:rFonts w:cs="Arial"/>
                <w:sz w:val="22"/>
                <w:szCs w:val="22"/>
              </w:rPr>
              <w:t>1</w:t>
            </w:r>
            <w:r w:rsidR="009A42C6">
              <w:rPr>
                <w:rFonts w:cs="Arial"/>
                <w:sz w:val="22"/>
                <w:szCs w:val="22"/>
              </w:rPr>
              <w:t>8</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42FAA432" w14:textId="77777777" w:rsidR="00F6492D" w:rsidRPr="00382AD9" w:rsidRDefault="00F6492D" w:rsidP="00EA30D0">
            <w:pPr>
              <w:spacing w:before="120" w:after="120"/>
              <w:rPr>
                <w:rFonts w:cs="Arial"/>
                <w:b/>
                <w:bCs/>
                <w:sz w:val="20"/>
                <w:szCs w:val="20"/>
              </w:rPr>
            </w:pPr>
            <w:r w:rsidRPr="00382AD9">
              <w:rPr>
                <w:rFonts w:cs="Arial"/>
                <w:b/>
                <w:bCs/>
                <w:sz w:val="20"/>
                <w:szCs w:val="20"/>
              </w:rPr>
              <w:t>Exhibits</w:t>
            </w:r>
          </w:p>
          <w:p w14:paraId="7182B503" w14:textId="4C97DBD9" w:rsidR="00F6492D" w:rsidRDefault="00F6492D" w:rsidP="00EA30D0">
            <w:pPr>
              <w:spacing w:before="120" w:after="120"/>
              <w:rPr>
                <w:rFonts w:cs="Arial"/>
                <w:sz w:val="20"/>
                <w:szCs w:val="20"/>
              </w:rPr>
            </w:pPr>
            <w:r w:rsidRPr="00BC1DAD">
              <w:rPr>
                <w:rFonts w:cs="Arial"/>
                <w:sz w:val="20"/>
                <w:szCs w:val="20"/>
              </w:rPr>
              <w:t xml:space="preserve">Exhibit A – </w:t>
            </w:r>
            <w:r>
              <w:rPr>
                <w:rFonts w:cs="Arial"/>
                <w:sz w:val="20"/>
                <w:szCs w:val="20"/>
              </w:rPr>
              <w:t>Preliminary Base Contract</w:t>
            </w:r>
          </w:p>
          <w:p w14:paraId="1965A15B" w14:textId="4FE5AD72" w:rsidR="00BC1DAD" w:rsidRPr="00BC1DAD" w:rsidRDefault="00BC1DAD" w:rsidP="00EA30D0">
            <w:pPr>
              <w:spacing w:before="120" w:after="120"/>
              <w:rPr>
                <w:rFonts w:cs="Arial"/>
                <w:sz w:val="20"/>
                <w:szCs w:val="20"/>
              </w:rPr>
            </w:pPr>
            <w:r w:rsidRPr="00BC1DAD">
              <w:rPr>
                <w:rFonts w:cs="Arial"/>
                <w:sz w:val="20"/>
                <w:szCs w:val="20"/>
              </w:rPr>
              <w:t>Article XXI</w:t>
            </w:r>
            <w:r w:rsidR="00F6492D">
              <w:rPr>
                <w:rFonts w:cs="Arial"/>
                <w:sz w:val="20"/>
                <w:szCs w:val="20"/>
              </w:rPr>
              <w:t>. General Terms and Conditions</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6AEBD3D5" w14:textId="5FDDFA9D" w:rsidR="00BC1DAD" w:rsidRPr="00BC1DAD" w:rsidRDefault="00F6492D" w:rsidP="00EA30D0">
            <w:pPr>
              <w:spacing w:before="120" w:after="120"/>
              <w:jc w:val="center"/>
              <w:rPr>
                <w:rFonts w:cs="Arial"/>
                <w:sz w:val="22"/>
                <w:szCs w:val="22"/>
              </w:rPr>
            </w:pPr>
            <w:r>
              <w:rPr>
                <w:rFonts w:cs="Arial"/>
                <w:sz w:val="22"/>
                <w:szCs w:val="22"/>
              </w:rPr>
              <w:t>33-38</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7D2D65E6" w14:textId="4FD962E8" w:rsidR="00BC1DAD" w:rsidRPr="00E040F3" w:rsidRDefault="00BC1DAD" w:rsidP="00EA30D0">
            <w:pPr>
              <w:spacing w:before="120" w:after="120"/>
              <w:rPr>
                <w:rFonts w:cs="Arial"/>
                <w:sz w:val="22"/>
                <w:szCs w:val="22"/>
              </w:rPr>
            </w:pPr>
            <w:r w:rsidRPr="00BC1DAD">
              <w:rPr>
                <w:rFonts w:cs="Arial"/>
                <w:sz w:val="22"/>
                <w:szCs w:val="22"/>
              </w:rPr>
              <w:t xml:space="preserve">Bidder respectfully requests that the State amend Subsection F to more clearly define the scope of access to personnel and records: </w:t>
            </w:r>
          </w:p>
          <w:p w14:paraId="51AB31AC" w14:textId="77777777" w:rsidR="00BC1DAD" w:rsidRPr="00BC1DAD" w:rsidRDefault="00BC1DAD" w:rsidP="00EA30D0">
            <w:pPr>
              <w:spacing w:before="120" w:after="120"/>
              <w:rPr>
                <w:rFonts w:cs="Arial"/>
                <w:sz w:val="22"/>
                <w:szCs w:val="22"/>
              </w:rPr>
            </w:pPr>
            <w:r w:rsidRPr="00BC1DAD">
              <w:rPr>
                <w:rFonts w:cs="Arial"/>
                <w:iCs/>
                <w:sz w:val="22"/>
                <w:szCs w:val="22"/>
              </w:rPr>
              <w:t>“</w:t>
            </w:r>
            <w:r w:rsidRPr="00BC1DAD">
              <w:rPr>
                <w:rFonts w:cs="Arial"/>
                <w:i/>
                <w:sz w:val="22"/>
                <w:szCs w:val="22"/>
              </w:rPr>
              <w:t xml:space="preserve">The Contractor shall provide </w:t>
            </w:r>
            <w:r w:rsidRPr="00BC1DAD">
              <w:rPr>
                <w:rFonts w:cs="Arial"/>
                <w:i/>
                <w:strike/>
                <w:sz w:val="22"/>
                <w:szCs w:val="22"/>
              </w:rPr>
              <w:t>immediate and unfettered</w:t>
            </w:r>
            <w:r w:rsidRPr="00BC1DAD">
              <w:rPr>
                <w:rFonts w:cs="Arial"/>
                <w:i/>
                <w:sz w:val="22"/>
                <w:szCs w:val="22"/>
              </w:rPr>
              <w:t xml:space="preserve"> access to the State to all records deemed necessary by the State for the conduct of an investigation.</w:t>
            </w:r>
            <w:r w:rsidRPr="00BC1DAD">
              <w:rPr>
                <w:rFonts w:cs="Arial"/>
                <w:iCs/>
                <w:sz w:val="22"/>
                <w:szCs w:val="22"/>
              </w:rPr>
              <w:t>”</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3B48B34D" w14:textId="77777777" w:rsidR="00BC1DAD" w:rsidRPr="00BC1DAD" w:rsidRDefault="00BC1DAD" w:rsidP="00EA30D0">
            <w:pPr>
              <w:spacing w:before="120" w:after="120"/>
              <w:rPr>
                <w:rFonts w:cs="Arial"/>
                <w:b/>
                <w:bCs/>
                <w:color w:val="7B7B7B"/>
                <w:sz w:val="22"/>
                <w:szCs w:val="22"/>
              </w:rPr>
            </w:pPr>
            <w:r w:rsidRPr="00BC1DAD">
              <w:rPr>
                <w:rFonts w:cs="Arial"/>
                <w:b/>
                <w:bCs/>
                <w:sz w:val="22"/>
                <w:szCs w:val="22"/>
              </w:rPr>
              <w:t>The Department declines to amend the Preliminary Base Contract at this time. Per Section 6.2.18 of the RFP, Bidders are allowed to provide non-material proposed changes to the Preliminary Base Contract with their proposal submission.</w:t>
            </w:r>
          </w:p>
        </w:tc>
      </w:tr>
      <w:tr w:rsidR="007412FB" w:rsidRPr="00BC1DAD" w14:paraId="3E546B7E"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5565F136" w14:textId="26797559" w:rsidR="00BC1DAD" w:rsidRPr="00BC1DAD" w:rsidRDefault="00BC1DAD" w:rsidP="00EA30D0">
            <w:pPr>
              <w:spacing w:before="120" w:after="120"/>
              <w:jc w:val="center"/>
              <w:rPr>
                <w:rFonts w:cs="Arial"/>
                <w:sz w:val="22"/>
                <w:szCs w:val="22"/>
              </w:rPr>
            </w:pPr>
            <w:r w:rsidRPr="00BC1DAD">
              <w:rPr>
                <w:rFonts w:cs="Arial"/>
                <w:sz w:val="22"/>
                <w:szCs w:val="22"/>
              </w:rPr>
              <w:t>1</w:t>
            </w:r>
            <w:r w:rsidR="009A42C6">
              <w:rPr>
                <w:rFonts w:cs="Arial"/>
                <w:sz w:val="22"/>
                <w:szCs w:val="22"/>
              </w:rPr>
              <w:t>9</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5296A045" w14:textId="77777777" w:rsidR="00382AD9" w:rsidRPr="00382AD9" w:rsidRDefault="00382AD9" w:rsidP="00EA30D0">
            <w:pPr>
              <w:spacing w:before="120" w:after="120"/>
              <w:rPr>
                <w:rFonts w:cs="Arial"/>
                <w:b/>
                <w:bCs/>
                <w:sz w:val="20"/>
                <w:szCs w:val="20"/>
              </w:rPr>
            </w:pPr>
            <w:r w:rsidRPr="00382AD9">
              <w:rPr>
                <w:rFonts w:cs="Arial"/>
                <w:b/>
                <w:bCs/>
                <w:sz w:val="20"/>
                <w:szCs w:val="20"/>
              </w:rPr>
              <w:t>Appendices</w:t>
            </w:r>
          </w:p>
          <w:p w14:paraId="51FF2FE7" w14:textId="77777777" w:rsidR="00BC1DAD" w:rsidRDefault="00382AD9" w:rsidP="00EA30D0">
            <w:pPr>
              <w:spacing w:before="120" w:after="120"/>
              <w:rPr>
                <w:rFonts w:cs="Arial"/>
                <w:sz w:val="20"/>
                <w:szCs w:val="20"/>
              </w:rPr>
            </w:pPr>
            <w:r>
              <w:rPr>
                <w:rFonts w:cs="Arial"/>
                <w:sz w:val="20"/>
                <w:szCs w:val="20"/>
              </w:rPr>
              <w:t>A</w:t>
            </w:r>
            <w:r w:rsidR="00BC1DAD" w:rsidRPr="00BC1DAD">
              <w:rPr>
                <w:rFonts w:cs="Arial"/>
                <w:sz w:val="20"/>
                <w:szCs w:val="20"/>
              </w:rPr>
              <w:t>ppendix A – Standard Clause for NYS Contracts</w:t>
            </w:r>
          </w:p>
          <w:p w14:paraId="0CB50A34" w14:textId="77777777" w:rsidR="00A239F3" w:rsidRDefault="00A239F3" w:rsidP="00EA30D0">
            <w:pPr>
              <w:spacing w:before="120" w:after="120"/>
              <w:rPr>
                <w:rFonts w:cs="Arial"/>
                <w:sz w:val="20"/>
                <w:szCs w:val="20"/>
              </w:rPr>
            </w:pPr>
            <w:r>
              <w:rPr>
                <w:rFonts w:cs="Arial"/>
                <w:sz w:val="20"/>
                <w:szCs w:val="20"/>
              </w:rPr>
              <w:lastRenderedPageBreak/>
              <w:t>Section 12.</w:t>
            </w:r>
          </w:p>
          <w:p w14:paraId="42E37B76" w14:textId="05F1E9CF" w:rsidR="00EA30D0" w:rsidRPr="00BC1DAD" w:rsidRDefault="00A239F3" w:rsidP="00EA30D0">
            <w:pPr>
              <w:spacing w:before="120" w:after="120"/>
              <w:rPr>
                <w:rFonts w:cs="Arial"/>
                <w:sz w:val="20"/>
                <w:szCs w:val="20"/>
              </w:rPr>
            </w:pPr>
            <w:r>
              <w:rPr>
                <w:rFonts w:cs="Arial"/>
                <w:sz w:val="20"/>
                <w:szCs w:val="20"/>
              </w:rPr>
              <w:t>Equal Employment Opportunities for Minorities and Women</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2C04255A" w14:textId="77777777" w:rsidR="00BC1DAD" w:rsidRPr="00BC1DAD" w:rsidRDefault="00BC1DAD" w:rsidP="00EA30D0">
            <w:pPr>
              <w:spacing w:before="120" w:after="120"/>
              <w:jc w:val="center"/>
              <w:rPr>
                <w:rFonts w:cs="Arial"/>
                <w:sz w:val="22"/>
                <w:szCs w:val="22"/>
              </w:rPr>
            </w:pPr>
            <w:r w:rsidRPr="00BC1DAD">
              <w:rPr>
                <w:rFonts w:cs="Arial"/>
                <w:sz w:val="22"/>
                <w:szCs w:val="22"/>
              </w:rPr>
              <w:lastRenderedPageBreak/>
              <w:t>7</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11EC93C7" w14:textId="77777777" w:rsidR="00BC1DAD" w:rsidRPr="00BC1DAD" w:rsidRDefault="00BC1DAD" w:rsidP="00EA30D0">
            <w:pPr>
              <w:spacing w:before="120" w:after="120"/>
              <w:rPr>
                <w:rFonts w:cs="Arial"/>
                <w:sz w:val="22"/>
                <w:szCs w:val="22"/>
              </w:rPr>
            </w:pPr>
            <w:r w:rsidRPr="00BC1DAD">
              <w:rPr>
                <w:rFonts w:cs="Arial"/>
                <w:sz w:val="22"/>
                <w:szCs w:val="22"/>
              </w:rPr>
              <w:t xml:space="preserve">According to this Section, Section 312 does not apply to “(i) work, goods, or services unrelated to the Contract; or (ii) employment outside New York State.” Please clarify if an affirmative action plan is required </w:t>
            </w:r>
            <w:r w:rsidRPr="00BC1DAD">
              <w:rPr>
                <w:rFonts w:cs="Arial"/>
                <w:sz w:val="22"/>
                <w:szCs w:val="22"/>
              </w:rPr>
              <w:lastRenderedPageBreak/>
              <w:t xml:space="preserve">for a vendor who will have no employees working in the State of NY.  </w:t>
            </w: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33617F11" w14:textId="77777777" w:rsidR="00BC1DAD" w:rsidRPr="00BC1DAD" w:rsidRDefault="00BC1DAD" w:rsidP="00EA30D0">
            <w:pPr>
              <w:spacing w:before="120" w:after="120"/>
              <w:rPr>
                <w:rFonts w:cs="Arial"/>
                <w:b/>
                <w:bCs/>
                <w:color w:val="7B7B7B"/>
                <w:sz w:val="22"/>
                <w:szCs w:val="22"/>
              </w:rPr>
            </w:pPr>
            <w:r w:rsidRPr="00BC1DAD">
              <w:rPr>
                <w:rFonts w:cs="Arial"/>
                <w:b/>
                <w:bCs/>
                <w:sz w:val="22"/>
                <w:szCs w:val="22"/>
              </w:rPr>
              <w:lastRenderedPageBreak/>
              <w:t>The Department confirms that Section 312 of the NYS Executive Law does not apply to Contractors with employees working exclusively outside of New York State.</w:t>
            </w:r>
          </w:p>
        </w:tc>
      </w:tr>
      <w:tr w:rsidR="007412FB" w:rsidRPr="00BC1DAD" w14:paraId="6E3427E4" w14:textId="77777777" w:rsidTr="006E2685">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7ACA314" w14:textId="15480AFA" w:rsidR="00BC1DAD" w:rsidRPr="00BC1DAD" w:rsidRDefault="009A42C6" w:rsidP="00EA30D0">
            <w:pPr>
              <w:spacing w:before="120" w:after="120"/>
              <w:jc w:val="center"/>
              <w:rPr>
                <w:rFonts w:cs="Arial"/>
                <w:sz w:val="22"/>
                <w:szCs w:val="22"/>
              </w:rPr>
            </w:pPr>
            <w:r>
              <w:rPr>
                <w:rFonts w:cs="Arial"/>
                <w:sz w:val="22"/>
                <w:szCs w:val="22"/>
              </w:rPr>
              <w:t>20</w:t>
            </w:r>
          </w:p>
        </w:tc>
        <w:tc>
          <w:tcPr>
            <w:tcW w:w="648" w:type="pct"/>
            <w:tcBorders>
              <w:top w:val="single" w:sz="8" w:space="0" w:color="000000"/>
              <w:left w:val="single" w:sz="8" w:space="0" w:color="000000"/>
              <w:bottom w:val="single" w:sz="8" w:space="0" w:color="000000"/>
              <w:right w:val="single" w:sz="8" w:space="0" w:color="000000"/>
            </w:tcBorders>
            <w:shd w:val="clear" w:color="auto" w:fill="auto"/>
          </w:tcPr>
          <w:p w14:paraId="582ADDF8" w14:textId="77777777" w:rsidR="00382AD9" w:rsidRPr="00382AD9" w:rsidRDefault="00382AD9" w:rsidP="00EA30D0">
            <w:pPr>
              <w:spacing w:before="120" w:after="120"/>
              <w:rPr>
                <w:rFonts w:cs="Arial"/>
                <w:b/>
                <w:bCs/>
                <w:sz w:val="20"/>
                <w:szCs w:val="20"/>
              </w:rPr>
            </w:pPr>
            <w:r w:rsidRPr="00382AD9">
              <w:rPr>
                <w:rFonts w:cs="Arial"/>
                <w:b/>
                <w:bCs/>
                <w:sz w:val="20"/>
                <w:szCs w:val="20"/>
              </w:rPr>
              <w:t>Appendices</w:t>
            </w:r>
          </w:p>
          <w:p w14:paraId="57526A5E" w14:textId="77777777" w:rsidR="00BC1DAD" w:rsidRDefault="00BC1DAD" w:rsidP="00EA30D0">
            <w:pPr>
              <w:spacing w:before="120" w:after="120"/>
              <w:rPr>
                <w:rFonts w:cs="Arial"/>
                <w:sz w:val="20"/>
                <w:szCs w:val="20"/>
              </w:rPr>
            </w:pPr>
            <w:r w:rsidRPr="00BC1DAD">
              <w:rPr>
                <w:rFonts w:cs="Arial"/>
                <w:sz w:val="20"/>
                <w:szCs w:val="20"/>
              </w:rPr>
              <w:t>Appendix A – Standard Clause for NYS Contracts</w:t>
            </w:r>
          </w:p>
          <w:p w14:paraId="6253DC14" w14:textId="77777777" w:rsidR="00A239F3" w:rsidRDefault="00A239F3" w:rsidP="00EA30D0">
            <w:pPr>
              <w:spacing w:before="120" w:after="120"/>
              <w:rPr>
                <w:rFonts w:cs="Arial"/>
                <w:sz w:val="20"/>
                <w:szCs w:val="20"/>
              </w:rPr>
            </w:pPr>
            <w:r>
              <w:rPr>
                <w:rFonts w:cs="Arial"/>
                <w:sz w:val="20"/>
                <w:szCs w:val="20"/>
              </w:rPr>
              <w:t xml:space="preserve">Section 23. </w:t>
            </w:r>
          </w:p>
          <w:p w14:paraId="44F91C18" w14:textId="7BC195AC" w:rsidR="00A239F3" w:rsidRPr="00BC1DAD" w:rsidRDefault="00A239F3" w:rsidP="00EA30D0">
            <w:pPr>
              <w:spacing w:before="120" w:after="120"/>
              <w:rPr>
                <w:rFonts w:cs="Arial"/>
                <w:sz w:val="20"/>
                <w:szCs w:val="20"/>
              </w:rPr>
            </w:pPr>
            <w:r>
              <w:rPr>
                <w:rFonts w:cs="Arial"/>
                <w:sz w:val="20"/>
                <w:szCs w:val="20"/>
              </w:rPr>
              <w:t>Compliance With Consultant Disclosure Law</w:t>
            </w:r>
          </w:p>
        </w:tc>
        <w:tc>
          <w:tcPr>
            <w:tcW w:w="309" w:type="pct"/>
            <w:tcBorders>
              <w:top w:val="single" w:sz="8" w:space="0" w:color="000000"/>
              <w:left w:val="single" w:sz="8" w:space="0" w:color="000000"/>
              <w:bottom w:val="single" w:sz="8" w:space="0" w:color="000000"/>
              <w:right w:val="single" w:sz="8" w:space="0" w:color="000000"/>
            </w:tcBorders>
            <w:shd w:val="clear" w:color="auto" w:fill="auto"/>
          </w:tcPr>
          <w:p w14:paraId="23B798CA" w14:textId="77777777" w:rsidR="00BC1DAD" w:rsidRPr="00BC1DAD" w:rsidRDefault="00BC1DAD" w:rsidP="00EA30D0">
            <w:pPr>
              <w:spacing w:before="120" w:after="120"/>
              <w:jc w:val="center"/>
              <w:rPr>
                <w:rFonts w:cs="Arial"/>
                <w:sz w:val="22"/>
                <w:szCs w:val="22"/>
              </w:rPr>
            </w:pPr>
            <w:r w:rsidRPr="00BC1DAD">
              <w:rPr>
                <w:rFonts w:cs="Arial"/>
                <w:sz w:val="22"/>
                <w:szCs w:val="22"/>
              </w:rPr>
              <w:t>8-9</w:t>
            </w:r>
          </w:p>
        </w:tc>
        <w:tc>
          <w:tcPr>
            <w:tcW w:w="1883" w:type="pct"/>
            <w:tcBorders>
              <w:top w:val="single" w:sz="8" w:space="0" w:color="000000"/>
              <w:left w:val="single" w:sz="8" w:space="0" w:color="000000"/>
              <w:bottom w:val="single" w:sz="8" w:space="0" w:color="000000"/>
              <w:right w:val="single" w:sz="8" w:space="0" w:color="000000"/>
            </w:tcBorders>
            <w:shd w:val="clear" w:color="auto" w:fill="auto"/>
          </w:tcPr>
          <w:p w14:paraId="7121EBB5" w14:textId="61B4429C" w:rsidR="00EA30D0" w:rsidRPr="00BC1DAD" w:rsidRDefault="00BC1DAD" w:rsidP="00EA30D0">
            <w:pPr>
              <w:tabs>
                <w:tab w:val="left" w:pos="450"/>
                <w:tab w:val="left" w:pos="720"/>
              </w:tabs>
              <w:spacing w:before="120" w:after="120"/>
              <w:jc w:val="both"/>
              <w:rPr>
                <w:rFonts w:cs="Arial"/>
                <w:i/>
                <w:sz w:val="22"/>
                <w:szCs w:val="22"/>
              </w:rPr>
            </w:pPr>
            <w:r w:rsidRPr="00BC1DAD">
              <w:rPr>
                <w:rFonts w:cs="Arial"/>
                <w:sz w:val="22"/>
                <w:szCs w:val="22"/>
              </w:rPr>
              <w:t>This section provides that “…</w:t>
            </w:r>
            <w:r w:rsidRPr="00BC1DAD">
              <w:rPr>
                <w:rFonts w:cs="Arial"/>
                <w:i/>
                <w:sz w:val="22"/>
                <w:szCs w:val="22"/>
              </w:rPr>
              <w:t>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628BECC7" w14:textId="77777777" w:rsidR="00BC1DAD" w:rsidRPr="00BC1DAD" w:rsidRDefault="00BC1DAD" w:rsidP="00EA30D0">
            <w:pPr>
              <w:tabs>
                <w:tab w:val="left" w:pos="450"/>
                <w:tab w:val="left" w:pos="720"/>
              </w:tabs>
              <w:spacing w:before="120" w:after="120"/>
              <w:jc w:val="both"/>
              <w:rPr>
                <w:rFonts w:cs="Arial"/>
                <w:i/>
                <w:sz w:val="22"/>
                <w:szCs w:val="22"/>
              </w:rPr>
            </w:pPr>
            <w:r w:rsidRPr="00BC1DAD">
              <w:rPr>
                <w:rFonts w:cs="Arial"/>
                <w:sz w:val="22"/>
                <w:szCs w:val="22"/>
              </w:rPr>
              <w:t>Will the State provide an employment report template for bidder to fulfill this requirement?</w:t>
            </w:r>
            <w:r w:rsidRPr="00BC1DAD">
              <w:rPr>
                <w:rFonts w:cs="Arial"/>
                <w:i/>
                <w:sz w:val="22"/>
                <w:szCs w:val="22"/>
              </w:rPr>
              <w:t xml:space="preserve">  </w:t>
            </w:r>
          </w:p>
          <w:p w14:paraId="2D078308" w14:textId="77777777" w:rsidR="00BC1DAD" w:rsidRPr="00BC1DAD" w:rsidRDefault="00BC1DAD" w:rsidP="00EA30D0">
            <w:pPr>
              <w:spacing w:before="120" w:after="120"/>
              <w:rPr>
                <w:rFonts w:cs="Arial"/>
                <w:sz w:val="22"/>
                <w:szCs w:val="22"/>
              </w:rPr>
            </w:pPr>
          </w:p>
        </w:tc>
        <w:tc>
          <w:tcPr>
            <w:tcW w:w="1976" w:type="pct"/>
            <w:tcBorders>
              <w:top w:val="single" w:sz="8" w:space="0" w:color="000000"/>
              <w:left w:val="single" w:sz="8" w:space="0" w:color="000000"/>
              <w:bottom w:val="single" w:sz="8" w:space="0" w:color="000000"/>
              <w:right w:val="single" w:sz="8" w:space="0" w:color="000000"/>
            </w:tcBorders>
            <w:shd w:val="clear" w:color="auto" w:fill="auto"/>
          </w:tcPr>
          <w:p w14:paraId="28A2E852" w14:textId="77777777" w:rsidR="00BC1DAD" w:rsidRPr="00BC1DAD" w:rsidRDefault="00BC1DAD" w:rsidP="00EA30D0">
            <w:pPr>
              <w:spacing w:before="120" w:after="120"/>
              <w:rPr>
                <w:rFonts w:cs="Arial"/>
                <w:b/>
                <w:bCs/>
                <w:sz w:val="22"/>
                <w:szCs w:val="22"/>
              </w:rPr>
            </w:pPr>
            <w:r w:rsidRPr="00BC1DAD">
              <w:rPr>
                <w:rFonts w:cs="Arial"/>
                <w:b/>
                <w:bCs/>
                <w:sz w:val="22"/>
                <w:szCs w:val="22"/>
              </w:rPr>
              <w:t xml:space="preserve">The Department has provided a template of this annual report as Exhibit D, Contractor’s Annual Employment Report – Form B.  </w:t>
            </w:r>
          </w:p>
          <w:p w14:paraId="0CB74D10" w14:textId="77777777" w:rsidR="00BC1DAD" w:rsidRPr="00BC1DAD" w:rsidRDefault="00BC1DAD" w:rsidP="00EA30D0">
            <w:pPr>
              <w:spacing w:before="120" w:after="120"/>
              <w:rPr>
                <w:rFonts w:cs="Arial"/>
                <w:b/>
                <w:bCs/>
                <w:sz w:val="22"/>
                <w:szCs w:val="22"/>
              </w:rPr>
            </w:pPr>
            <w:r w:rsidRPr="00BC1DAD">
              <w:rPr>
                <w:rFonts w:cs="Arial"/>
                <w:b/>
                <w:bCs/>
                <w:sz w:val="22"/>
                <w:szCs w:val="22"/>
              </w:rPr>
              <w:t>The Department will contact the winning Bidder to submit Exhibit C, State Consultant Services – Contractor’s Planned Employment – Form A.</w:t>
            </w:r>
          </w:p>
          <w:p w14:paraId="6F1405EC" w14:textId="77777777" w:rsidR="00BC1DAD" w:rsidRPr="00BC1DAD" w:rsidRDefault="00BC1DAD" w:rsidP="00EA30D0">
            <w:pPr>
              <w:spacing w:before="120" w:after="120"/>
              <w:rPr>
                <w:rFonts w:cs="Arial"/>
                <w:b/>
                <w:bCs/>
                <w:color w:val="7B7B7B"/>
                <w:sz w:val="22"/>
                <w:szCs w:val="22"/>
              </w:rPr>
            </w:pPr>
            <w:r w:rsidRPr="00BC1DAD">
              <w:rPr>
                <w:rFonts w:cs="Arial"/>
                <w:b/>
                <w:bCs/>
                <w:sz w:val="22"/>
                <w:szCs w:val="22"/>
              </w:rPr>
              <w:t>See RFP Section 6.2.20, Requirements Imposed Pursuant to Laws of 2006, Chapter 10, for additional details on these two forms.</w:t>
            </w:r>
          </w:p>
        </w:tc>
      </w:tr>
    </w:tbl>
    <w:p w14:paraId="786C33DA" w14:textId="51F26DA6" w:rsidR="00D240D9" w:rsidRDefault="00DC2FA6" w:rsidP="00EA30D0">
      <w:pPr>
        <w:spacing w:before="240" w:after="240"/>
        <w:rPr>
          <w:rFonts w:cs="Arial"/>
          <w:sz w:val="22"/>
          <w:szCs w:val="22"/>
        </w:rPr>
        <w:sectPr w:rsidR="00D240D9" w:rsidSect="00120E80">
          <w:headerReference w:type="default" r:id="rId13"/>
          <w:footerReference w:type="default" r:id="rId14"/>
          <w:pgSz w:w="15840" w:h="12240" w:orient="landscape"/>
          <w:pgMar w:top="720" w:right="288" w:bottom="720" w:left="288" w:header="360" w:footer="360" w:gutter="0"/>
          <w:pgNumType w:start="1"/>
          <w:cols w:space="720"/>
          <w:docGrid w:linePitch="360"/>
        </w:sectPr>
      </w:pPr>
      <w:r>
        <w:rPr>
          <w:rFonts w:cs="Arial"/>
          <w:sz w:val="22"/>
          <w:szCs w:val="22"/>
        </w:rPr>
        <w:br w:type="textWrapping" w:clear="all"/>
      </w:r>
    </w:p>
    <w:p w14:paraId="2762127E" w14:textId="77777777" w:rsidR="00D240D9" w:rsidRDefault="00D240D9" w:rsidP="00D240D9">
      <w:pPr>
        <w:tabs>
          <w:tab w:val="left" w:pos="2016"/>
        </w:tabs>
        <w:rPr>
          <w:rFonts w:cs="Arial"/>
          <w:sz w:val="22"/>
          <w:szCs w:val="22"/>
        </w:rPr>
      </w:pPr>
    </w:p>
    <w:p w14:paraId="29FB8851" w14:textId="77777777" w:rsidR="00656111" w:rsidRPr="00656111" w:rsidRDefault="00656111" w:rsidP="00656111">
      <w:pPr>
        <w:spacing w:after="120"/>
        <w:ind w:left="1530"/>
        <w:jc w:val="both"/>
        <w:rPr>
          <w:rFonts w:eastAsia="Calibri" w:cs="Arial"/>
          <w:color w:val="000000"/>
          <w:sz w:val="21"/>
          <w:szCs w:val="21"/>
        </w:rPr>
      </w:pPr>
      <w:bookmarkStart w:id="3" w:name="_Hlk151462632"/>
      <w:r w:rsidRPr="00656111">
        <w:rPr>
          <w:rFonts w:eastAsia="Calibri" w:cs="Arial"/>
          <w:sz w:val="22"/>
          <w:szCs w:val="22"/>
        </w:rPr>
        <w:t xml:space="preserve">workplace and provide annual sexual harassment training to all their employees and that such policy, at a minimum, meets the requirements of Section two hundred one-g of the labor law. </w:t>
      </w:r>
    </w:p>
    <w:p w14:paraId="31A9535C" w14:textId="77777777" w:rsidR="00656111" w:rsidRPr="00656111" w:rsidRDefault="00656111" w:rsidP="00656111">
      <w:pPr>
        <w:spacing w:before="120" w:after="120"/>
        <w:ind w:left="1530"/>
        <w:jc w:val="both"/>
        <w:rPr>
          <w:rFonts w:eastAsia="Calibri" w:cs="Arial"/>
          <w:b/>
          <w:sz w:val="22"/>
          <w:szCs w:val="22"/>
        </w:rPr>
      </w:pPr>
      <w:r w:rsidRPr="00656111">
        <w:rPr>
          <w:rFonts w:eastAsia="Calibri" w:cs="Arial"/>
          <w:b/>
          <w:bCs/>
          <w:sz w:val="22"/>
          <w:szCs w:val="22"/>
        </w:rPr>
        <w:t xml:space="preserve">The Bidder </w:t>
      </w:r>
      <w:bookmarkStart w:id="4" w:name="_Hlk139540330"/>
      <w:r w:rsidRPr="00656111">
        <w:rPr>
          <w:rFonts w:eastAsia="Calibri" w:cs="Arial"/>
          <w:b/>
          <w:bCs/>
          <w:sz w:val="22"/>
          <w:szCs w:val="22"/>
        </w:rPr>
        <w:t xml:space="preserve">must complete and submit </w:t>
      </w:r>
      <w:bookmarkEnd w:id="4"/>
      <w:r w:rsidRPr="00656111">
        <w:rPr>
          <w:rFonts w:eastAsia="Calibri" w:cs="Arial"/>
          <w:b/>
          <w:sz w:val="22"/>
          <w:szCs w:val="22"/>
        </w:rPr>
        <w:t>Attachment 15 – Sexual Harassment Prevention Certification.</w:t>
      </w:r>
      <w:r w:rsidRPr="00656111">
        <w:rPr>
          <w:rFonts w:eastAsia="Calibri" w:cs="Arial"/>
          <w:b/>
          <w:sz w:val="22"/>
          <w:szCs w:val="22"/>
        </w:rPr>
        <w:tab/>
      </w:r>
    </w:p>
    <w:p w14:paraId="433EDCEB" w14:textId="77777777" w:rsidR="00656111" w:rsidRPr="00656111" w:rsidRDefault="00656111" w:rsidP="00656111">
      <w:pPr>
        <w:pStyle w:val="ListParagraph"/>
        <w:keepNext/>
        <w:numPr>
          <w:ilvl w:val="0"/>
          <w:numId w:val="28"/>
        </w:numPr>
        <w:spacing w:before="240" w:after="60" w:line="240" w:lineRule="auto"/>
        <w:outlineLvl w:val="2"/>
        <w:rPr>
          <w:rFonts w:ascii="Arial" w:eastAsia="Times New Roman" w:hAnsi="Arial" w:cs="Arial"/>
          <w:b/>
          <w:bCs/>
          <w:vanish/>
          <w:sz w:val="24"/>
          <w:szCs w:val="24"/>
          <w:lang w:eastAsia="x-none"/>
        </w:rPr>
      </w:pPr>
      <w:bookmarkStart w:id="5" w:name="_Toc128732168"/>
      <w:bookmarkStart w:id="6" w:name="_Toc149911690"/>
    </w:p>
    <w:p w14:paraId="7503475E" w14:textId="77777777" w:rsidR="00656111" w:rsidRPr="00656111" w:rsidRDefault="00656111" w:rsidP="00656111">
      <w:pPr>
        <w:pStyle w:val="ListParagraph"/>
        <w:keepNext/>
        <w:numPr>
          <w:ilvl w:val="0"/>
          <w:numId w:val="28"/>
        </w:numPr>
        <w:spacing w:before="240" w:after="60" w:line="240" w:lineRule="auto"/>
        <w:outlineLvl w:val="2"/>
        <w:rPr>
          <w:rFonts w:ascii="Arial" w:eastAsia="Times New Roman" w:hAnsi="Arial" w:cs="Arial"/>
          <w:b/>
          <w:bCs/>
          <w:vanish/>
          <w:sz w:val="24"/>
          <w:szCs w:val="24"/>
          <w:lang w:eastAsia="x-none"/>
        </w:rPr>
      </w:pPr>
    </w:p>
    <w:p w14:paraId="3A504CC1" w14:textId="77777777" w:rsidR="00656111" w:rsidRPr="00656111" w:rsidRDefault="00656111" w:rsidP="00656111">
      <w:pPr>
        <w:pStyle w:val="ListParagraph"/>
        <w:keepNext/>
        <w:numPr>
          <w:ilvl w:val="0"/>
          <w:numId w:val="28"/>
        </w:numPr>
        <w:spacing w:before="240" w:after="60" w:line="240" w:lineRule="auto"/>
        <w:outlineLvl w:val="2"/>
        <w:rPr>
          <w:rFonts w:ascii="Arial" w:eastAsia="Times New Roman" w:hAnsi="Arial" w:cs="Arial"/>
          <w:b/>
          <w:bCs/>
          <w:vanish/>
          <w:sz w:val="24"/>
          <w:szCs w:val="24"/>
          <w:lang w:eastAsia="x-none"/>
        </w:rPr>
      </w:pPr>
    </w:p>
    <w:p w14:paraId="71874207" w14:textId="77777777" w:rsidR="00656111" w:rsidRPr="00656111" w:rsidRDefault="00656111" w:rsidP="00656111">
      <w:pPr>
        <w:pStyle w:val="ListParagraph"/>
        <w:keepNext/>
        <w:numPr>
          <w:ilvl w:val="0"/>
          <w:numId w:val="28"/>
        </w:numPr>
        <w:spacing w:before="240" w:after="60" w:line="240" w:lineRule="auto"/>
        <w:outlineLvl w:val="2"/>
        <w:rPr>
          <w:rFonts w:ascii="Arial" w:eastAsia="Times New Roman" w:hAnsi="Arial" w:cs="Arial"/>
          <w:b/>
          <w:bCs/>
          <w:vanish/>
          <w:sz w:val="24"/>
          <w:szCs w:val="24"/>
          <w:lang w:eastAsia="x-none"/>
        </w:rPr>
      </w:pPr>
    </w:p>
    <w:p w14:paraId="3DA0311C" w14:textId="77777777" w:rsidR="00656111" w:rsidRPr="00656111" w:rsidRDefault="00656111" w:rsidP="00656111">
      <w:pPr>
        <w:pStyle w:val="ListParagraph"/>
        <w:keepNext/>
        <w:numPr>
          <w:ilvl w:val="0"/>
          <w:numId w:val="28"/>
        </w:numPr>
        <w:spacing w:before="240" w:after="60" w:line="240" w:lineRule="auto"/>
        <w:outlineLvl w:val="2"/>
        <w:rPr>
          <w:rFonts w:ascii="Arial" w:eastAsia="Times New Roman" w:hAnsi="Arial" w:cs="Arial"/>
          <w:b/>
          <w:bCs/>
          <w:vanish/>
          <w:sz w:val="24"/>
          <w:szCs w:val="24"/>
          <w:lang w:eastAsia="x-none"/>
        </w:rPr>
      </w:pPr>
    </w:p>
    <w:p w14:paraId="2B7636BB" w14:textId="77777777" w:rsidR="00656111" w:rsidRPr="00656111" w:rsidRDefault="00656111" w:rsidP="00656111">
      <w:pPr>
        <w:pStyle w:val="ListParagraph"/>
        <w:keepNext/>
        <w:numPr>
          <w:ilvl w:val="0"/>
          <w:numId w:val="28"/>
        </w:numPr>
        <w:spacing w:before="240" w:after="60" w:line="240" w:lineRule="auto"/>
        <w:outlineLvl w:val="2"/>
        <w:rPr>
          <w:rFonts w:ascii="Arial" w:eastAsia="Times New Roman" w:hAnsi="Arial" w:cs="Arial"/>
          <w:b/>
          <w:bCs/>
          <w:vanish/>
          <w:sz w:val="24"/>
          <w:szCs w:val="24"/>
          <w:lang w:eastAsia="x-none"/>
        </w:rPr>
      </w:pPr>
    </w:p>
    <w:p w14:paraId="3A16A33D" w14:textId="77777777" w:rsidR="00656111" w:rsidRPr="00656111" w:rsidRDefault="00656111" w:rsidP="00656111">
      <w:pPr>
        <w:pStyle w:val="ListParagraph"/>
        <w:keepNext/>
        <w:numPr>
          <w:ilvl w:val="1"/>
          <w:numId w:val="28"/>
        </w:numPr>
        <w:spacing w:before="240" w:after="60" w:line="240" w:lineRule="auto"/>
        <w:outlineLvl w:val="2"/>
        <w:rPr>
          <w:rFonts w:ascii="Arial" w:eastAsia="Times New Roman" w:hAnsi="Arial" w:cs="Arial"/>
          <w:b/>
          <w:bCs/>
          <w:vanish/>
          <w:sz w:val="24"/>
          <w:szCs w:val="24"/>
          <w:lang w:eastAsia="x-none"/>
        </w:rPr>
      </w:pPr>
    </w:p>
    <w:p w14:paraId="25FA85BE" w14:textId="77777777" w:rsidR="00656111" w:rsidRPr="00656111" w:rsidRDefault="00656111" w:rsidP="00656111">
      <w:pPr>
        <w:pStyle w:val="ListParagraph"/>
        <w:keepNext/>
        <w:numPr>
          <w:ilvl w:val="1"/>
          <w:numId w:val="28"/>
        </w:numPr>
        <w:spacing w:before="240" w:after="60" w:line="240" w:lineRule="auto"/>
        <w:outlineLvl w:val="2"/>
        <w:rPr>
          <w:rFonts w:ascii="Arial" w:eastAsia="Times New Roman" w:hAnsi="Arial" w:cs="Arial"/>
          <w:b/>
          <w:bCs/>
          <w:vanish/>
          <w:sz w:val="24"/>
          <w:szCs w:val="24"/>
          <w:lang w:eastAsia="x-none"/>
        </w:rPr>
      </w:pPr>
    </w:p>
    <w:p w14:paraId="17EA98E1"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42D828A6"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7B0412B6"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7A89154A"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1999AA1F"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66F087D8"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55DB8000"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4FEAC77F"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422E594C"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21B41036"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5DC87B33"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694CA03A"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49154146"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7CCC79DA"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7CB5A6A0"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51705743"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269CCBFE"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0F279EAC"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384136C1"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42CAC60F"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0D936936"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5E4D0002"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4675552D"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34DCCC8B" w14:textId="77777777" w:rsidR="00656111" w:rsidRPr="00656111" w:rsidRDefault="00656111" w:rsidP="00656111">
      <w:pPr>
        <w:pStyle w:val="ListParagraph"/>
        <w:keepNext/>
        <w:numPr>
          <w:ilvl w:val="2"/>
          <w:numId w:val="28"/>
        </w:numPr>
        <w:spacing w:before="240" w:after="60" w:line="240" w:lineRule="auto"/>
        <w:outlineLvl w:val="2"/>
        <w:rPr>
          <w:rFonts w:ascii="Arial" w:eastAsia="Times New Roman" w:hAnsi="Arial" w:cs="Arial"/>
          <w:b/>
          <w:bCs/>
          <w:vanish/>
          <w:sz w:val="24"/>
          <w:szCs w:val="24"/>
          <w:lang w:eastAsia="x-none"/>
        </w:rPr>
      </w:pPr>
    </w:p>
    <w:p w14:paraId="47EFB249" w14:textId="1E516D5A" w:rsidR="00656111" w:rsidRPr="00656111" w:rsidRDefault="00656111" w:rsidP="00656111">
      <w:pPr>
        <w:keepNext/>
        <w:numPr>
          <w:ilvl w:val="2"/>
          <w:numId w:val="28"/>
        </w:numPr>
        <w:spacing w:before="240" w:after="60"/>
        <w:ind w:left="1044"/>
        <w:outlineLvl w:val="2"/>
        <w:rPr>
          <w:rFonts w:cs="Arial"/>
          <w:b/>
          <w:bCs/>
          <w:lang w:eastAsia="x-none"/>
        </w:rPr>
      </w:pPr>
      <w:r w:rsidRPr="00656111">
        <w:rPr>
          <w:rFonts w:cs="Arial"/>
          <w:b/>
          <w:bCs/>
          <w:lang w:eastAsia="x-none"/>
        </w:rPr>
        <w:t>Executive Order No. 16 Certification</w:t>
      </w:r>
      <w:bookmarkEnd w:id="5"/>
      <w:bookmarkEnd w:id="6"/>
    </w:p>
    <w:p w14:paraId="51976765" w14:textId="77777777" w:rsidR="00656111" w:rsidRPr="00656111" w:rsidRDefault="00656111" w:rsidP="00656111">
      <w:pPr>
        <w:spacing w:after="120"/>
        <w:ind w:left="1530"/>
        <w:jc w:val="both"/>
        <w:rPr>
          <w:rFonts w:eastAsia="Calibri" w:cs="Arial"/>
          <w:sz w:val="22"/>
          <w:szCs w:val="22"/>
        </w:rPr>
      </w:pPr>
      <w:r w:rsidRPr="00656111">
        <w:rPr>
          <w:rFonts w:eastAsia="Calibri" w:cs="Arial"/>
          <w:sz w:val="22"/>
          <w:szCs w:val="22"/>
        </w:rPr>
        <w:t>In accordance with Executive Order No. 16, the Bidder must certify that it does not conduct any commercial activity in Russia or transact business with the Russian Government or with commercial entities headquartered in Russia or with their principal place of business in Russia in the form of contracting, sales, purchasing, investment, or any business partnership.</w:t>
      </w:r>
    </w:p>
    <w:p w14:paraId="38667578" w14:textId="77777777" w:rsidR="00656111" w:rsidRPr="00656111" w:rsidRDefault="00656111" w:rsidP="00656111">
      <w:pPr>
        <w:spacing w:after="120"/>
        <w:ind w:left="1530"/>
        <w:jc w:val="both"/>
        <w:rPr>
          <w:rFonts w:eastAsia="Calibri" w:cs="Arial"/>
          <w:b/>
          <w:sz w:val="22"/>
          <w:szCs w:val="22"/>
        </w:rPr>
      </w:pPr>
      <w:r w:rsidRPr="00656111">
        <w:rPr>
          <w:rFonts w:eastAsia="Calibri" w:cs="Arial"/>
          <w:b/>
          <w:sz w:val="22"/>
          <w:szCs w:val="22"/>
        </w:rPr>
        <w:t xml:space="preserve">The Bidder </w:t>
      </w:r>
      <w:r w:rsidRPr="00656111">
        <w:rPr>
          <w:rFonts w:eastAsia="Calibri" w:cs="Arial"/>
          <w:b/>
          <w:bCs/>
          <w:sz w:val="22"/>
          <w:szCs w:val="22"/>
        </w:rPr>
        <w:t xml:space="preserve">must complete and submit </w:t>
      </w:r>
      <w:r w:rsidRPr="00656111">
        <w:rPr>
          <w:rFonts w:eastAsia="Calibri" w:cs="Arial"/>
          <w:b/>
          <w:sz w:val="22"/>
          <w:szCs w:val="22"/>
        </w:rPr>
        <w:t>Attachment 16 – EO 16 Certification.</w:t>
      </w:r>
    </w:p>
    <w:p w14:paraId="4DB54606" w14:textId="77777777" w:rsidR="00656111" w:rsidRPr="00656111" w:rsidRDefault="00656111" w:rsidP="00656111">
      <w:pPr>
        <w:keepNext/>
        <w:numPr>
          <w:ilvl w:val="0"/>
          <w:numId w:val="29"/>
        </w:numPr>
        <w:pBdr>
          <w:bottom w:val="single" w:sz="4" w:space="1" w:color="auto"/>
        </w:pBdr>
        <w:spacing w:before="240" w:after="60"/>
        <w:outlineLvl w:val="0"/>
        <w:rPr>
          <w:rFonts w:cs="Arial"/>
          <w:b/>
          <w:bCs/>
          <w:kern w:val="32"/>
          <w:sz w:val="32"/>
          <w:szCs w:val="32"/>
          <w:lang w:eastAsia="x-none"/>
        </w:rPr>
      </w:pPr>
      <w:bookmarkStart w:id="7" w:name="_Toc128732169"/>
      <w:r w:rsidRPr="00656111">
        <w:rPr>
          <w:rFonts w:cs="Arial"/>
          <w:b/>
          <w:bCs/>
          <w:kern w:val="32"/>
          <w:sz w:val="28"/>
          <w:szCs w:val="28"/>
          <w:lang w:eastAsia="x-none"/>
        </w:rPr>
        <w:t xml:space="preserve"> </w:t>
      </w:r>
      <w:bookmarkStart w:id="8" w:name="_Toc149911691"/>
      <w:r w:rsidRPr="00656111">
        <w:rPr>
          <w:rFonts w:cs="Arial"/>
          <w:b/>
          <w:bCs/>
          <w:kern w:val="32"/>
          <w:sz w:val="32"/>
          <w:szCs w:val="32"/>
          <w:lang w:eastAsia="x-none"/>
        </w:rPr>
        <w:t>Proposal Content and Submission Requirements</w:t>
      </w:r>
      <w:bookmarkEnd w:id="7"/>
      <w:bookmarkEnd w:id="8"/>
    </w:p>
    <w:p w14:paraId="3E4C2E52" w14:textId="77777777" w:rsidR="00656111" w:rsidRPr="00656111" w:rsidRDefault="00656111" w:rsidP="00656111">
      <w:pPr>
        <w:spacing w:before="240" w:after="200"/>
        <w:jc w:val="both"/>
        <w:rPr>
          <w:rFonts w:eastAsia="Calibri" w:cs="Arial"/>
          <w:sz w:val="22"/>
          <w:szCs w:val="22"/>
        </w:rPr>
      </w:pPr>
      <w:r w:rsidRPr="00656111">
        <w:rPr>
          <w:rFonts w:eastAsia="Calibri" w:cs="Arial"/>
          <w:sz w:val="22"/>
          <w:szCs w:val="22"/>
        </w:rPr>
        <w:t>The Bidder must provide a response that clearly and precisely provides all required information. Emphasis should be placed on conformance with the RFP instructions, responsiveness to the RFP requirements and clarity of the intent.</w:t>
      </w:r>
    </w:p>
    <w:p w14:paraId="0B99C6F9" w14:textId="77777777" w:rsidR="00656111" w:rsidRPr="00656111" w:rsidRDefault="00656111" w:rsidP="00656111">
      <w:pPr>
        <w:spacing w:before="200" w:after="200"/>
        <w:jc w:val="both"/>
        <w:rPr>
          <w:rFonts w:eastAsia="Calibri" w:cs="Arial"/>
          <w:sz w:val="22"/>
          <w:szCs w:val="22"/>
        </w:rPr>
      </w:pPr>
      <w:r w:rsidRPr="00656111">
        <w:rPr>
          <w:rFonts w:eastAsia="Calibri" w:cs="Arial"/>
          <w:sz w:val="22"/>
          <w:szCs w:val="22"/>
        </w:rPr>
        <w:t xml:space="preserve">Proposals that do not comply with these instructions or do not meet the full intent of all of the requirements of this RFP may be subject to scoring reductions during the evaluation process or may be deemed non-responsive. To assist Bidders, we have provided a Bidder’s Checklist located as </w:t>
      </w:r>
      <w:r w:rsidRPr="00656111">
        <w:rPr>
          <w:rFonts w:eastAsia="Calibri" w:cs="Arial"/>
          <w:b/>
          <w:sz w:val="22"/>
          <w:szCs w:val="22"/>
        </w:rPr>
        <w:t>Attachment 1</w:t>
      </w:r>
      <w:r w:rsidRPr="00656111">
        <w:rPr>
          <w:rFonts w:eastAsia="Calibri" w:cs="Arial"/>
          <w:sz w:val="22"/>
          <w:szCs w:val="22"/>
        </w:rPr>
        <w:t xml:space="preserve"> of this RFP. A Proposal that does not provide all of the information requested may be subject to rejection.</w:t>
      </w:r>
    </w:p>
    <w:p w14:paraId="2573075D" w14:textId="77777777" w:rsidR="00656111" w:rsidRPr="00656111" w:rsidRDefault="00656111" w:rsidP="00656111">
      <w:pPr>
        <w:spacing w:before="200" w:after="200"/>
        <w:jc w:val="both"/>
        <w:rPr>
          <w:rFonts w:eastAsia="Calibri" w:cs="Arial"/>
          <w:sz w:val="22"/>
          <w:szCs w:val="22"/>
        </w:rPr>
      </w:pPr>
      <w:r w:rsidRPr="00656111">
        <w:rPr>
          <w:rFonts w:eastAsia="Calibri" w:cs="Arial"/>
          <w:sz w:val="22"/>
          <w:szCs w:val="22"/>
        </w:rPr>
        <w:t>The State does not require, nor desire, any excessive promotional material which does not specifically address the response requirements of this RFP.</w:t>
      </w:r>
    </w:p>
    <w:p w14:paraId="48EE4A82" w14:textId="77777777" w:rsidR="00656111" w:rsidRPr="00656111" w:rsidRDefault="00656111" w:rsidP="00656111">
      <w:pPr>
        <w:spacing w:before="360" w:after="200"/>
        <w:jc w:val="both"/>
        <w:rPr>
          <w:rFonts w:eastAsia="Calibri" w:cs="Arial"/>
          <w:sz w:val="22"/>
          <w:szCs w:val="22"/>
        </w:rPr>
      </w:pPr>
      <w:r w:rsidRPr="00656111">
        <w:rPr>
          <w:rFonts w:eastAsia="Calibri" w:cs="Arial"/>
          <w:b/>
          <w:sz w:val="22"/>
          <w:szCs w:val="22"/>
        </w:rPr>
        <w:t>Faxes or electronically transmitted Proposals will not be accepted.</w:t>
      </w:r>
    </w:p>
    <w:p w14:paraId="78AD4141" w14:textId="77777777" w:rsidR="00656111" w:rsidRPr="00656111" w:rsidRDefault="00656111" w:rsidP="00656111">
      <w:pPr>
        <w:keepNext/>
        <w:numPr>
          <w:ilvl w:val="0"/>
          <w:numId w:val="28"/>
        </w:numPr>
        <w:spacing w:before="240" w:after="60"/>
        <w:outlineLvl w:val="1"/>
        <w:rPr>
          <w:rFonts w:cs="Arial"/>
          <w:b/>
          <w:bCs/>
          <w:iCs/>
          <w:vanish/>
          <w:lang w:eastAsia="x-none"/>
        </w:rPr>
      </w:pPr>
      <w:bookmarkStart w:id="9" w:name="_Toc128722877"/>
      <w:bookmarkStart w:id="10" w:name="_Toc128724259"/>
      <w:bookmarkStart w:id="11" w:name="_Toc128732170"/>
      <w:bookmarkStart w:id="12" w:name="_Toc129776495"/>
      <w:bookmarkStart w:id="13" w:name="_Toc130371135"/>
      <w:bookmarkStart w:id="14" w:name="_Toc139622706"/>
      <w:bookmarkStart w:id="15" w:name="_Toc141347676"/>
      <w:bookmarkStart w:id="16" w:name="_Toc141347813"/>
      <w:bookmarkStart w:id="17" w:name="_Toc145583754"/>
      <w:bookmarkStart w:id="18" w:name="_Toc149727916"/>
      <w:bookmarkStart w:id="19" w:name="_Toc149911692"/>
      <w:bookmarkEnd w:id="9"/>
      <w:bookmarkEnd w:id="10"/>
      <w:bookmarkEnd w:id="11"/>
      <w:bookmarkEnd w:id="12"/>
      <w:bookmarkEnd w:id="13"/>
      <w:bookmarkEnd w:id="14"/>
      <w:bookmarkEnd w:id="15"/>
      <w:bookmarkEnd w:id="16"/>
      <w:bookmarkEnd w:id="17"/>
      <w:bookmarkEnd w:id="18"/>
      <w:bookmarkEnd w:id="19"/>
    </w:p>
    <w:p w14:paraId="29AD4743" w14:textId="77777777" w:rsidR="00656111" w:rsidRPr="00656111" w:rsidRDefault="00656111" w:rsidP="00656111">
      <w:pPr>
        <w:keepNext/>
        <w:numPr>
          <w:ilvl w:val="1"/>
          <w:numId w:val="28"/>
        </w:numPr>
        <w:spacing w:before="240" w:after="60"/>
        <w:ind w:left="432"/>
        <w:outlineLvl w:val="1"/>
        <w:rPr>
          <w:rFonts w:cs="Arial"/>
          <w:b/>
          <w:bCs/>
          <w:iCs/>
          <w:sz w:val="28"/>
          <w:szCs w:val="28"/>
          <w:lang w:val="x-none" w:eastAsia="x-none"/>
        </w:rPr>
      </w:pPr>
      <w:bookmarkStart w:id="20" w:name="_Toc128732171"/>
      <w:bookmarkStart w:id="21" w:name="_Toc149911693"/>
      <w:r w:rsidRPr="00656111">
        <w:rPr>
          <w:rFonts w:cs="Arial"/>
          <w:b/>
          <w:bCs/>
          <w:iCs/>
          <w:sz w:val="28"/>
          <w:szCs w:val="28"/>
          <w:lang w:val="x-none" w:eastAsia="x-none"/>
        </w:rPr>
        <w:t>Proposal Content and Organization</w:t>
      </w:r>
      <w:bookmarkEnd w:id="20"/>
      <w:bookmarkEnd w:id="21"/>
    </w:p>
    <w:p w14:paraId="77939780" w14:textId="77777777" w:rsidR="00656111" w:rsidRPr="00656111" w:rsidRDefault="00656111" w:rsidP="00656111">
      <w:pPr>
        <w:spacing w:after="200"/>
        <w:ind w:left="720"/>
        <w:jc w:val="both"/>
        <w:rPr>
          <w:rFonts w:eastAsia="Calibri" w:cs="Arial"/>
          <w:sz w:val="22"/>
          <w:szCs w:val="22"/>
        </w:rPr>
      </w:pPr>
      <w:r w:rsidRPr="00656111">
        <w:rPr>
          <w:rFonts w:eastAsia="Calibri" w:cs="Arial"/>
          <w:sz w:val="22"/>
          <w:szCs w:val="22"/>
        </w:rPr>
        <w:t>To facilitate the evaluation process, the Bidder must organize the Proposal into three (3) distinct volumes as follows:</w:t>
      </w:r>
    </w:p>
    <w:p w14:paraId="7427F23F" w14:textId="77777777" w:rsidR="00656111" w:rsidRPr="00656111" w:rsidRDefault="00656111" w:rsidP="00656111">
      <w:pPr>
        <w:tabs>
          <w:tab w:val="left" w:pos="2430"/>
        </w:tabs>
        <w:spacing w:after="200"/>
        <w:ind w:left="720"/>
        <w:rPr>
          <w:rFonts w:eastAsia="Calibri" w:cs="Arial"/>
          <w:sz w:val="22"/>
          <w:szCs w:val="22"/>
        </w:rPr>
      </w:pPr>
      <w:r w:rsidRPr="00656111">
        <w:rPr>
          <w:rFonts w:eastAsia="Calibri" w:cs="Arial"/>
          <w:sz w:val="22"/>
          <w:szCs w:val="22"/>
        </w:rPr>
        <w:t>Volume One:</w:t>
      </w:r>
      <w:r w:rsidRPr="00656111">
        <w:rPr>
          <w:rFonts w:eastAsia="Calibri" w:cs="Arial"/>
          <w:sz w:val="22"/>
          <w:szCs w:val="22"/>
        </w:rPr>
        <w:tab/>
        <w:t>Technical Proposal</w:t>
      </w:r>
    </w:p>
    <w:p w14:paraId="3B8558B1" w14:textId="77777777" w:rsidR="00656111" w:rsidRPr="00656111" w:rsidRDefault="00656111" w:rsidP="00656111">
      <w:pPr>
        <w:tabs>
          <w:tab w:val="left" w:pos="2430"/>
        </w:tabs>
        <w:spacing w:after="200"/>
        <w:ind w:left="720"/>
        <w:rPr>
          <w:rFonts w:eastAsia="Calibri" w:cs="Arial"/>
          <w:sz w:val="22"/>
          <w:szCs w:val="22"/>
        </w:rPr>
      </w:pPr>
      <w:r w:rsidRPr="00656111">
        <w:rPr>
          <w:rFonts w:eastAsia="Calibri" w:cs="Arial"/>
          <w:sz w:val="22"/>
          <w:szCs w:val="22"/>
        </w:rPr>
        <w:t>Volume Two:</w:t>
      </w:r>
      <w:r w:rsidRPr="00656111">
        <w:rPr>
          <w:rFonts w:eastAsia="Calibri" w:cs="Arial"/>
          <w:sz w:val="22"/>
          <w:szCs w:val="22"/>
        </w:rPr>
        <w:tab/>
        <w:t>Administrative Proposal</w:t>
      </w:r>
    </w:p>
    <w:p w14:paraId="05A8573F" w14:textId="77777777" w:rsidR="00656111" w:rsidRPr="00656111" w:rsidRDefault="00656111" w:rsidP="00656111">
      <w:pPr>
        <w:tabs>
          <w:tab w:val="left" w:pos="2430"/>
        </w:tabs>
        <w:spacing w:after="200"/>
        <w:ind w:left="720"/>
        <w:rPr>
          <w:rFonts w:eastAsia="Calibri" w:cs="Arial"/>
          <w:sz w:val="22"/>
          <w:szCs w:val="22"/>
        </w:rPr>
      </w:pPr>
      <w:r w:rsidRPr="00656111">
        <w:rPr>
          <w:rFonts w:eastAsia="Calibri" w:cs="Arial"/>
          <w:sz w:val="22"/>
          <w:szCs w:val="22"/>
        </w:rPr>
        <w:t>Volume Three:</w:t>
      </w:r>
      <w:r w:rsidRPr="00656111">
        <w:rPr>
          <w:rFonts w:eastAsia="Calibri" w:cs="Arial"/>
          <w:sz w:val="22"/>
          <w:szCs w:val="22"/>
        </w:rPr>
        <w:tab/>
        <w:t>Financial Proposal</w:t>
      </w:r>
    </w:p>
    <w:p w14:paraId="2627B04E" w14:textId="77777777" w:rsidR="00656111" w:rsidRPr="00656111" w:rsidRDefault="00656111" w:rsidP="00656111">
      <w:pPr>
        <w:numPr>
          <w:ilvl w:val="0"/>
          <w:numId w:val="26"/>
        </w:numPr>
        <w:spacing w:after="120"/>
        <w:rPr>
          <w:rFonts w:eastAsia="Calibri" w:cs="Arial"/>
          <w:sz w:val="22"/>
          <w:szCs w:val="22"/>
        </w:rPr>
      </w:pPr>
      <w:r w:rsidRPr="00656111">
        <w:rPr>
          <w:rFonts w:eastAsia="Calibri" w:cs="Arial"/>
          <w:sz w:val="22"/>
          <w:szCs w:val="22"/>
        </w:rPr>
        <w:t>Volume One Format</w:t>
      </w:r>
    </w:p>
    <w:p w14:paraId="5BA35E73" w14:textId="77777777" w:rsidR="00656111" w:rsidRPr="00656111" w:rsidRDefault="00656111" w:rsidP="00656111">
      <w:pPr>
        <w:spacing w:after="120"/>
        <w:ind w:left="1080"/>
        <w:rPr>
          <w:rFonts w:eastAsia="Calibri" w:cs="Arial"/>
          <w:sz w:val="22"/>
          <w:szCs w:val="22"/>
        </w:rPr>
      </w:pPr>
      <w:r w:rsidRPr="00656111">
        <w:rPr>
          <w:rFonts w:eastAsia="Calibri" w:cs="Arial"/>
          <w:sz w:val="22"/>
          <w:szCs w:val="22"/>
        </w:rPr>
        <w:t>Volume One should contain a table of contents with page numbers and each Section should be tabbed as follows:</w:t>
      </w:r>
    </w:p>
    <w:p w14:paraId="256B51DF" w14:textId="77777777" w:rsidR="00656111" w:rsidRPr="00E040F3" w:rsidRDefault="00656111" w:rsidP="00656111">
      <w:pPr>
        <w:numPr>
          <w:ilvl w:val="0"/>
          <w:numId w:val="2"/>
        </w:numPr>
        <w:tabs>
          <w:tab w:val="left" w:pos="2520"/>
        </w:tabs>
        <w:spacing w:after="120"/>
        <w:rPr>
          <w:rFonts w:eastAsia="Calibri" w:cs="Arial"/>
          <w:color w:val="00B050"/>
          <w:sz w:val="22"/>
          <w:szCs w:val="22"/>
        </w:rPr>
      </w:pPr>
      <w:r w:rsidRPr="00E040F3">
        <w:rPr>
          <w:rFonts w:eastAsia="Calibri" w:cs="Arial"/>
          <w:color w:val="00B050"/>
          <w:sz w:val="22"/>
          <w:szCs w:val="22"/>
        </w:rPr>
        <w:t xml:space="preserve">Tab 1 – </w:t>
      </w:r>
      <w:r w:rsidRPr="00E040F3">
        <w:rPr>
          <w:rFonts w:eastAsia="Calibri" w:cs="Arial"/>
          <w:color w:val="00B050"/>
          <w:sz w:val="22"/>
          <w:szCs w:val="22"/>
        </w:rPr>
        <w:tab/>
        <w:t>Executive Summary</w:t>
      </w:r>
    </w:p>
    <w:p w14:paraId="2130A7AA" w14:textId="77777777" w:rsidR="00656111" w:rsidRPr="00656111" w:rsidRDefault="00656111" w:rsidP="00656111">
      <w:pPr>
        <w:numPr>
          <w:ilvl w:val="0"/>
          <w:numId w:val="2"/>
        </w:numPr>
        <w:tabs>
          <w:tab w:val="left" w:pos="2520"/>
        </w:tabs>
        <w:spacing w:after="120"/>
        <w:rPr>
          <w:rFonts w:eastAsia="Calibri" w:cs="Arial"/>
          <w:sz w:val="22"/>
          <w:szCs w:val="22"/>
        </w:rPr>
      </w:pPr>
      <w:r w:rsidRPr="00656111">
        <w:rPr>
          <w:rFonts w:eastAsia="Calibri" w:cs="Arial"/>
          <w:sz w:val="22"/>
          <w:szCs w:val="22"/>
        </w:rPr>
        <w:t xml:space="preserve">Tab 2 – </w:t>
      </w:r>
      <w:r w:rsidRPr="00656111">
        <w:rPr>
          <w:rFonts w:eastAsia="Calibri" w:cs="Arial"/>
          <w:sz w:val="22"/>
          <w:szCs w:val="22"/>
        </w:rPr>
        <w:tab/>
        <w:t>Qualifying Requirements</w:t>
      </w:r>
    </w:p>
    <w:p w14:paraId="629CDB74" w14:textId="77777777" w:rsidR="00656111" w:rsidRPr="00656111" w:rsidRDefault="00656111" w:rsidP="00656111">
      <w:pPr>
        <w:numPr>
          <w:ilvl w:val="0"/>
          <w:numId w:val="2"/>
        </w:numPr>
        <w:tabs>
          <w:tab w:val="left" w:pos="2520"/>
        </w:tabs>
        <w:spacing w:after="200"/>
        <w:rPr>
          <w:rFonts w:eastAsia="Calibri" w:cs="Arial"/>
          <w:sz w:val="22"/>
          <w:szCs w:val="22"/>
        </w:rPr>
      </w:pPr>
      <w:r w:rsidRPr="00656111">
        <w:rPr>
          <w:rFonts w:eastAsia="Calibri" w:cs="Arial"/>
          <w:sz w:val="22"/>
          <w:szCs w:val="22"/>
        </w:rPr>
        <w:t xml:space="preserve">Tab 3 – </w:t>
      </w:r>
      <w:r w:rsidRPr="00656111">
        <w:rPr>
          <w:rFonts w:eastAsia="Calibri" w:cs="Arial"/>
          <w:sz w:val="22"/>
          <w:szCs w:val="22"/>
        </w:rPr>
        <w:tab/>
        <w:t>Technical Requirements</w:t>
      </w:r>
    </w:p>
    <w:p w14:paraId="369BE1E9" w14:textId="77777777" w:rsidR="00656111" w:rsidRPr="00656111" w:rsidRDefault="00656111" w:rsidP="00656111">
      <w:pPr>
        <w:numPr>
          <w:ilvl w:val="0"/>
          <w:numId w:val="26"/>
        </w:numPr>
        <w:spacing w:after="120"/>
        <w:rPr>
          <w:rFonts w:eastAsia="Calibri" w:cs="Arial"/>
          <w:sz w:val="22"/>
          <w:szCs w:val="22"/>
        </w:rPr>
      </w:pPr>
      <w:r w:rsidRPr="00656111">
        <w:rPr>
          <w:rFonts w:eastAsia="Calibri" w:cs="Arial"/>
          <w:sz w:val="22"/>
          <w:szCs w:val="22"/>
        </w:rPr>
        <w:t>Volume Two Format</w:t>
      </w:r>
    </w:p>
    <w:p w14:paraId="5E531B15" w14:textId="77777777" w:rsidR="00656111" w:rsidRDefault="00656111" w:rsidP="00656111">
      <w:pPr>
        <w:numPr>
          <w:ilvl w:val="1"/>
          <w:numId w:val="26"/>
        </w:numPr>
        <w:tabs>
          <w:tab w:val="left" w:pos="2520"/>
        </w:tabs>
        <w:spacing w:after="120"/>
        <w:ind w:left="1800"/>
        <w:rPr>
          <w:rFonts w:eastAsia="Calibri" w:cs="Arial"/>
          <w:sz w:val="22"/>
          <w:szCs w:val="22"/>
        </w:rPr>
        <w:sectPr w:rsidR="00656111" w:rsidSect="00D240D9">
          <w:footerReference w:type="default" r:id="rId15"/>
          <w:pgSz w:w="12240" w:h="15840"/>
          <w:pgMar w:top="288" w:right="720" w:bottom="288" w:left="720" w:header="360" w:footer="360" w:gutter="0"/>
          <w:cols w:space="720"/>
          <w:docGrid w:linePitch="360"/>
        </w:sectPr>
      </w:pPr>
      <w:r w:rsidRPr="00656111">
        <w:rPr>
          <w:rFonts w:eastAsia="Calibri" w:cs="Arial"/>
          <w:sz w:val="22"/>
          <w:szCs w:val="22"/>
        </w:rPr>
        <w:t>Tab 1 –</w:t>
      </w:r>
      <w:r w:rsidRPr="00656111">
        <w:rPr>
          <w:rFonts w:eastAsia="Calibri" w:cs="Arial"/>
          <w:sz w:val="22"/>
          <w:szCs w:val="22"/>
        </w:rPr>
        <w:tab/>
      </w:r>
      <w:r w:rsidRPr="00656111">
        <w:rPr>
          <w:rFonts w:eastAsia="Calibri" w:cs="Arial"/>
          <w:strike/>
          <w:color w:val="C00000"/>
          <w:sz w:val="22"/>
          <w:szCs w:val="22"/>
        </w:rPr>
        <w:t>Bidder’s Checklist and</w:t>
      </w:r>
      <w:r w:rsidRPr="00656111">
        <w:rPr>
          <w:rFonts w:eastAsia="Calibri" w:cs="Arial"/>
          <w:color w:val="C00000"/>
          <w:sz w:val="22"/>
          <w:szCs w:val="22"/>
        </w:rPr>
        <w:t xml:space="preserve"> </w:t>
      </w:r>
      <w:r w:rsidRPr="00656111">
        <w:rPr>
          <w:rFonts w:eastAsia="Calibri" w:cs="Arial"/>
          <w:sz w:val="22"/>
          <w:szCs w:val="22"/>
        </w:rPr>
        <w:t>Cover Letter, Bidder-Proposed Changes, and Request for Exemption from Disclosure</w:t>
      </w:r>
    </w:p>
    <w:p w14:paraId="6371CD7D" w14:textId="77777777" w:rsidR="00656111" w:rsidRPr="00656111" w:rsidRDefault="00656111" w:rsidP="00656111">
      <w:pPr>
        <w:numPr>
          <w:ilvl w:val="0"/>
          <w:numId w:val="27"/>
        </w:numPr>
        <w:spacing w:after="120"/>
        <w:rPr>
          <w:rFonts w:eastAsia="Calibri" w:cs="Arial"/>
          <w:vanish/>
          <w:sz w:val="22"/>
          <w:szCs w:val="22"/>
        </w:rPr>
      </w:pPr>
    </w:p>
    <w:p w14:paraId="1FE5288D" w14:textId="7FB0F8F5" w:rsidR="00656111" w:rsidRPr="00656111" w:rsidRDefault="00656111" w:rsidP="00656111">
      <w:pPr>
        <w:numPr>
          <w:ilvl w:val="0"/>
          <w:numId w:val="27"/>
        </w:numPr>
        <w:tabs>
          <w:tab w:val="left" w:pos="2520"/>
        </w:tabs>
        <w:spacing w:before="120" w:after="120"/>
        <w:ind w:left="1800"/>
        <w:rPr>
          <w:rFonts w:eastAsia="Calibri" w:cs="Arial"/>
          <w:sz w:val="22"/>
          <w:szCs w:val="22"/>
        </w:rPr>
      </w:pPr>
      <w:r w:rsidRPr="00656111">
        <w:rPr>
          <w:rFonts w:eastAsia="Calibri" w:cs="Arial"/>
          <w:sz w:val="22"/>
          <w:szCs w:val="22"/>
        </w:rPr>
        <w:t>Tab 2 –</w:t>
      </w:r>
      <w:r w:rsidRPr="00656111">
        <w:rPr>
          <w:rFonts w:eastAsia="Calibri" w:cs="Arial"/>
          <w:sz w:val="22"/>
          <w:szCs w:val="22"/>
        </w:rPr>
        <w:tab/>
      </w:r>
      <w:r w:rsidRPr="00E040F3">
        <w:rPr>
          <w:rFonts w:eastAsia="Calibri" w:cs="Arial"/>
          <w:color w:val="00B050"/>
          <w:sz w:val="22"/>
          <w:szCs w:val="22"/>
        </w:rPr>
        <w:t xml:space="preserve">Bidder’s Checklist </w:t>
      </w:r>
      <w:r w:rsidR="00D851A9">
        <w:rPr>
          <w:rFonts w:eastAsia="Calibri" w:cs="Arial"/>
          <w:color w:val="00B050"/>
          <w:sz w:val="22"/>
          <w:szCs w:val="22"/>
        </w:rPr>
        <w:t xml:space="preserve">(Attachment 1) </w:t>
      </w:r>
      <w:r w:rsidRPr="00E040F3">
        <w:rPr>
          <w:rFonts w:eastAsia="Calibri" w:cs="Arial"/>
          <w:color w:val="00B050"/>
          <w:sz w:val="22"/>
          <w:szCs w:val="22"/>
        </w:rPr>
        <w:t xml:space="preserve">and </w:t>
      </w:r>
      <w:r w:rsidRPr="00656111">
        <w:rPr>
          <w:rFonts w:eastAsia="Calibri" w:cs="Arial"/>
          <w:sz w:val="22"/>
          <w:szCs w:val="22"/>
        </w:rPr>
        <w:t>Administrative Requirements Response Forms (Attachments 3-18; Exhibit F)</w:t>
      </w:r>
    </w:p>
    <w:p w14:paraId="35517188" w14:textId="77777777" w:rsidR="00656111" w:rsidRPr="00656111" w:rsidRDefault="00656111" w:rsidP="00656111">
      <w:pPr>
        <w:ind w:left="2250"/>
        <w:rPr>
          <w:rFonts w:eastAsia="Calibri" w:cs="Arial"/>
          <w:sz w:val="22"/>
          <w:szCs w:val="22"/>
        </w:rPr>
      </w:pPr>
    </w:p>
    <w:p w14:paraId="107D2CC0" w14:textId="77777777" w:rsidR="00656111" w:rsidRPr="00656111" w:rsidRDefault="00656111" w:rsidP="00656111">
      <w:pPr>
        <w:numPr>
          <w:ilvl w:val="0"/>
          <w:numId w:val="26"/>
        </w:numPr>
        <w:spacing w:after="200"/>
        <w:rPr>
          <w:rFonts w:eastAsia="Calibri" w:cs="Arial"/>
          <w:sz w:val="22"/>
          <w:szCs w:val="22"/>
        </w:rPr>
      </w:pPr>
      <w:r w:rsidRPr="00656111">
        <w:rPr>
          <w:rFonts w:eastAsia="Calibri" w:cs="Arial"/>
          <w:sz w:val="22"/>
          <w:szCs w:val="22"/>
        </w:rPr>
        <w:t>Volume Three Format</w:t>
      </w:r>
    </w:p>
    <w:p w14:paraId="2D2A7A06" w14:textId="77777777" w:rsidR="00656111" w:rsidRPr="00656111" w:rsidRDefault="00656111" w:rsidP="00656111">
      <w:pPr>
        <w:tabs>
          <w:tab w:val="left" w:pos="1080"/>
        </w:tabs>
        <w:spacing w:after="200"/>
        <w:ind w:left="1080"/>
        <w:rPr>
          <w:rFonts w:eastAsia="Calibri" w:cs="Arial"/>
          <w:sz w:val="22"/>
          <w:szCs w:val="22"/>
        </w:rPr>
      </w:pPr>
      <w:r w:rsidRPr="00656111">
        <w:rPr>
          <w:rFonts w:eastAsia="Calibri" w:cs="Arial"/>
          <w:sz w:val="22"/>
          <w:szCs w:val="22"/>
        </w:rPr>
        <w:t xml:space="preserve">This volume must contain </w:t>
      </w:r>
      <w:r w:rsidRPr="00656111">
        <w:rPr>
          <w:rFonts w:eastAsia="Calibri" w:cs="Arial"/>
          <w:b/>
          <w:sz w:val="22"/>
          <w:szCs w:val="22"/>
        </w:rPr>
        <w:t xml:space="preserve">Attachment 19 </w:t>
      </w:r>
      <w:r w:rsidRPr="00656111">
        <w:rPr>
          <w:rFonts w:eastAsia="Calibri" w:cs="Arial"/>
          <w:b/>
          <w:bCs/>
          <w:sz w:val="22"/>
          <w:szCs w:val="22"/>
        </w:rPr>
        <w:t>–</w:t>
      </w:r>
      <w:r w:rsidRPr="00656111">
        <w:rPr>
          <w:rFonts w:eastAsia="Calibri" w:cs="Arial"/>
          <w:b/>
          <w:sz w:val="22"/>
          <w:szCs w:val="22"/>
        </w:rPr>
        <w:t xml:space="preserve"> Financial Response Form.</w:t>
      </w:r>
    </w:p>
    <w:p w14:paraId="5197FB77" w14:textId="77777777" w:rsidR="00656111" w:rsidRPr="00656111" w:rsidRDefault="00656111" w:rsidP="00656111">
      <w:pPr>
        <w:keepNext/>
        <w:numPr>
          <w:ilvl w:val="1"/>
          <w:numId w:val="28"/>
        </w:numPr>
        <w:spacing w:before="480" w:after="60"/>
        <w:ind w:left="432"/>
        <w:outlineLvl w:val="1"/>
        <w:rPr>
          <w:rFonts w:cs="Arial"/>
          <w:b/>
          <w:bCs/>
          <w:iCs/>
          <w:sz w:val="28"/>
          <w:szCs w:val="28"/>
          <w:lang w:val="x-none" w:eastAsia="x-none"/>
        </w:rPr>
      </w:pPr>
      <w:bookmarkStart w:id="22" w:name="_Toc128732172"/>
      <w:bookmarkStart w:id="23" w:name="_Toc149911694"/>
      <w:r w:rsidRPr="00656111">
        <w:rPr>
          <w:rFonts w:cs="Arial"/>
          <w:b/>
          <w:bCs/>
          <w:iCs/>
          <w:sz w:val="28"/>
          <w:szCs w:val="28"/>
          <w:lang w:eastAsia="x-none"/>
        </w:rPr>
        <w:t>Proposal Submission</w:t>
      </w:r>
      <w:bookmarkEnd w:id="22"/>
      <w:bookmarkEnd w:id="23"/>
    </w:p>
    <w:p w14:paraId="4E96E26A" w14:textId="77777777" w:rsidR="00656111" w:rsidRPr="00656111" w:rsidRDefault="00656111" w:rsidP="00656111">
      <w:pPr>
        <w:spacing w:after="60"/>
        <w:ind w:left="720"/>
        <w:jc w:val="both"/>
        <w:rPr>
          <w:rFonts w:eastAsia="Calibri" w:cs="Arial"/>
          <w:sz w:val="22"/>
          <w:szCs w:val="22"/>
        </w:rPr>
      </w:pPr>
      <w:r w:rsidRPr="00656111">
        <w:rPr>
          <w:rFonts w:eastAsia="Calibri" w:cs="Arial"/>
          <w:sz w:val="22"/>
          <w:szCs w:val="22"/>
        </w:rPr>
        <w:t>The Bidder must submit two (2) originals and one (1) hard paper copies of:</w:t>
      </w:r>
    </w:p>
    <w:p w14:paraId="0D78E2B7" w14:textId="77777777" w:rsidR="00656111" w:rsidRPr="00656111" w:rsidRDefault="00656111" w:rsidP="00656111">
      <w:pPr>
        <w:tabs>
          <w:tab w:val="left" w:pos="2880"/>
          <w:tab w:val="left" w:pos="3060"/>
        </w:tabs>
        <w:spacing w:after="60"/>
        <w:ind w:left="720" w:firstLine="720"/>
        <w:rPr>
          <w:rFonts w:eastAsia="Calibri" w:cs="Arial"/>
          <w:sz w:val="22"/>
          <w:szCs w:val="22"/>
        </w:rPr>
      </w:pPr>
      <w:r w:rsidRPr="00656111">
        <w:rPr>
          <w:rFonts w:eastAsia="Calibri" w:cs="Arial"/>
          <w:sz w:val="22"/>
          <w:szCs w:val="22"/>
        </w:rPr>
        <w:t xml:space="preserve">Volume One: </w:t>
      </w:r>
      <w:r w:rsidRPr="00656111">
        <w:rPr>
          <w:rFonts w:eastAsia="Calibri" w:cs="Arial"/>
          <w:sz w:val="22"/>
          <w:szCs w:val="22"/>
        </w:rPr>
        <w:tab/>
      </w:r>
      <w:r w:rsidRPr="00656111">
        <w:rPr>
          <w:rFonts w:eastAsia="Calibri" w:cs="Arial"/>
          <w:sz w:val="22"/>
          <w:szCs w:val="22"/>
        </w:rPr>
        <w:tab/>
        <w:t xml:space="preserve">Technical Proposal </w:t>
      </w:r>
    </w:p>
    <w:p w14:paraId="719E30AA" w14:textId="77777777" w:rsidR="00656111" w:rsidRPr="00656111" w:rsidRDefault="00656111" w:rsidP="00656111">
      <w:pPr>
        <w:tabs>
          <w:tab w:val="left" w:pos="2880"/>
          <w:tab w:val="left" w:pos="3060"/>
        </w:tabs>
        <w:spacing w:after="60"/>
        <w:ind w:left="720" w:firstLine="720"/>
        <w:rPr>
          <w:rFonts w:eastAsia="Calibri" w:cs="Arial"/>
          <w:sz w:val="22"/>
          <w:szCs w:val="22"/>
        </w:rPr>
      </w:pPr>
      <w:r w:rsidRPr="00656111">
        <w:rPr>
          <w:rFonts w:eastAsia="Calibri" w:cs="Arial"/>
          <w:sz w:val="22"/>
          <w:szCs w:val="22"/>
        </w:rPr>
        <w:t xml:space="preserve">Volume Two: </w:t>
      </w:r>
      <w:r w:rsidRPr="00656111">
        <w:rPr>
          <w:rFonts w:eastAsia="Calibri" w:cs="Arial"/>
          <w:sz w:val="22"/>
          <w:szCs w:val="22"/>
        </w:rPr>
        <w:tab/>
      </w:r>
      <w:r w:rsidRPr="00656111">
        <w:rPr>
          <w:rFonts w:eastAsia="Calibri" w:cs="Arial"/>
          <w:sz w:val="22"/>
          <w:szCs w:val="22"/>
        </w:rPr>
        <w:tab/>
        <w:t xml:space="preserve">Administrative Proposal </w:t>
      </w:r>
    </w:p>
    <w:p w14:paraId="5CBDCDB6" w14:textId="77777777" w:rsidR="00656111" w:rsidRPr="00656111" w:rsidRDefault="00656111" w:rsidP="00656111">
      <w:pPr>
        <w:tabs>
          <w:tab w:val="left" w:pos="2880"/>
          <w:tab w:val="left" w:pos="3060"/>
        </w:tabs>
        <w:spacing w:after="200"/>
        <w:ind w:left="720" w:firstLine="720"/>
        <w:rPr>
          <w:rFonts w:eastAsia="Calibri" w:cs="Arial"/>
          <w:sz w:val="22"/>
          <w:szCs w:val="22"/>
        </w:rPr>
      </w:pPr>
      <w:r w:rsidRPr="00656111">
        <w:rPr>
          <w:rFonts w:eastAsia="Calibri" w:cs="Arial"/>
          <w:sz w:val="22"/>
          <w:szCs w:val="22"/>
        </w:rPr>
        <w:t xml:space="preserve">Volume Three: </w:t>
      </w:r>
      <w:r w:rsidRPr="00656111">
        <w:rPr>
          <w:rFonts w:eastAsia="Calibri" w:cs="Arial"/>
          <w:sz w:val="22"/>
          <w:szCs w:val="22"/>
        </w:rPr>
        <w:tab/>
        <w:t xml:space="preserve">Financial Proposal </w:t>
      </w:r>
    </w:p>
    <w:p w14:paraId="7889A4F1" w14:textId="77777777" w:rsidR="00656111" w:rsidRPr="00656111" w:rsidRDefault="00656111" w:rsidP="00656111">
      <w:pPr>
        <w:spacing w:after="200"/>
        <w:ind w:left="720"/>
        <w:jc w:val="both"/>
        <w:rPr>
          <w:rFonts w:eastAsia="Calibri" w:cs="Arial"/>
          <w:sz w:val="22"/>
          <w:szCs w:val="22"/>
        </w:rPr>
      </w:pPr>
      <w:r w:rsidRPr="00656111">
        <w:rPr>
          <w:rFonts w:eastAsia="Calibri" w:cs="Arial"/>
          <w:sz w:val="22"/>
          <w:szCs w:val="22"/>
        </w:rPr>
        <w:t>All volumes should be bound separately, be clearly identified and should contain page numbers.</w:t>
      </w:r>
    </w:p>
    <w:p w14:paraId="5389ABFC" w14:textId="77777777" w:rsidR="00656111" w:rsidRPr="00656111" w:rsidRDefault="00656111" w:rsidP="00656111">
      <w:pPr>
        <w:spacing w:after="200"/>
        <w:ind w:left="720"/>
        <w:jc w:val="both"/>
        <w:rPr>
          <w:rFonts w:eastAsia="Calibri" w:cs="Arial"/>
          <w:sz w:val="22"/>
          <w:szCs w:val="22"/>
        </w:rPr>
      </w:pPr>
      <w:r w:rsidRPr="00656111">
        <w:rPr>
          <w:rFonts w:eastAsia="Calibri" w:cs="Arial"/>
          <w:sz w:val="22"/>
          <w:szCs w:val="22"/>
        </w:rPr>
        <w:t>The Bidder should also submit one (1) electronic copy (CD/DVD/Flash Drive) of Volumes One, Two, and Three.</w:t>
      </w:r>
    </w:p>
    <w:p w14:paraId="6397B4E4" w14:textId="77777777" w:rsidR="00656111" w:rsidRPr="00656111" w:rsidRDefault="00656111" w:rsidP="00656111">
      <w:pPr>
        <w:spacing w:after="200"/>
        <w:ind w:left="720"/>
        <w:jc w:val="both"/>
        <w:rPr>
          <w:rFonts w:eastAsia="Calibri" w:cs="Arial"/>
          <w:sz w:val="22"/>
          <w:szCs w:val="22"/>
        </w:rPr>
      </w:pPr>
      <w:r w:rsidRPr="00656111">
        <w:rPr>
          <w:rFonts w:eastAsia="Calibri" w:cs="Arial"/>
          <w:sz w:val="22"/>
          <w:szCs w:val="22"/>
        </w:rPr>
        <w:t xml:space="preserve">The electronic copy should be encrypted and password protected. The password should be submitted via email to </w:t>
      </w:r>
      <w:hyperlink r:id="rId16" w:history="1">
        <w:r w:rsidRPr="00656111">
          <w:rPr>
            <w:rFonts w:eastAsia="Calibri" w:cs="Arial"/>
            <w:color w:val="0000FF"/>
            <w:sz w:val="22"/>
            <w:szCs w:val="22"/>
            <w:u w:val="single"/>
          </w:rPr>
          <w:t>bfs.contracts@tax.ny.gov</w:t>
        </w:r>
      </w:hyperlink>
      <w:r w:rsidRPr="00656111">
        <w:rPr>
          <w:rFonts w:eastAsia="Calibri" w:cs="Arial"/>
          <w:sz w:val="22"/>
          <w:szCs w:val="22"/>
        </w:rPr>
        <w:t>.</w:t>
      </w:r>
    </w:p>
    <w:p w14:paraId="4E038092" w14:textId="77777777" w:rsidR="00656111" w:rsidRPr="00656111" w:rsidRDefault="00656111" w:rsidP="00656111">
      <w:pPr>
        <w:spacing w:after="200"/>
        <w:ind w:left="720"/>
        <w:jc w:val="both"/>
        <w:rPr>
          <w:rFonts w:eastAsia="Calibri" w:cs="Arial"/>
          <w:sz w:val="22"/>
          <w:szCs w:val="22"/>
        </w:rPr>
      </w:pPr>
      <w:r w:rsidRPr="00656111">
        <w:rPr>
          <w:rFonts w:eastAsia="Calibri" w:cs="Arial"/>
          <w:sz w:val="22"/>
          <w:szCs w:val="22"/>
        </w:rPr>
        <w:t>Proposals must be received by the date and time specified in the Schedule of Events.</w:t>
      </w:r>
    </w:p>
    <w:p w14:paraId="77683089" w14:textId="77777777" w:rsidR="00656111" w:rsidRPr="00656111" w:rsidRDefault="00656111" w:rsidP="00656111">
      <w:pPr>
        <w:spacing w:after="200"/>
        <w:ind w:left="720"/>
        <w:jc w:val="both"/>
        <w:rPr>
          <w:rFonts w:eastAsia="Calibri" w:cs="Arial"/>
          <w:sz w:val="22"/>
          <w:szCs w:val="22"/>
        </w:rPr>
      </w:pPr>
      <w:r w:rsidRPr="00656111">
        <w:rPr>
          <w:rFonts w:eastAsia="Calibri" w:cs="Arial"/>
          <w:sz w:val="22"/>
          <w:szCs w:val="22"/>
        </w:rPr>
        <w:t>Bidder Proposals should be enclosed in sealed containers with the following visibly inscribed on the outside of all containers:</w:t>
      </w:r>
    </w:p>
    <w:p w14:paraId="731AED41" w14:textId="77777777" w:rsidR="00656111" w:rsidRPr="00656111" w:rsidRDefault="00656111" w:rsidP="00656111">
      <w:pPr>
        <w:ind w:left="2400" w:hanging="960"/>
        <w:jc w:val="both"/>
        <w:rPr>
          <w:rFonts w:eastAsia="Calibri" w:cs="Arial"/>
          <w:sz w:val="22"/>
          <w:szCs w:val="22"/>
        </w:rPr>
      </w:pPr>
      <w:r w:rsidRPr="00656111">
        <w:rPr>
          <w:rFonts w:eastAsia="Calibri" w:cs="Arial"/>
          <w:sz w:val="22"/>
          <w:szCs w:val="22"/>
        </w:rPr>
        <w:t>Attn: Director, Procurement Services</w:t>
      </w:r>
    </w:p>
    <w:p w14:paraId="6B0CCF9F" w14:textId="77777777" w:rsidR="00656111" w:rsidRPr="00656111" w:rsidRDefault="00656111" w:rsidP="00656111">
      <w:pPr>
        <w:ind w:left="2400" w:hanging="960"/>
        <w:jc w:val="both"/>
        <w:rPr>
          <w:rFonts w:eastAsia="Calibri" w:cs="Arial"/>
          <w:sz w:val="22"/>
          <w:szCs w:val="22"/>
        </w:rPr>
      </w:pPr>
      <w:r w:rsidRPr="00656111">
        <w:rPr>
          <w:rFonts w:eastAsia="Calibri" w:cs="Arial"/>
          <w:sz w:val="22"/>
          <w:szCs w:val="22"/>
        </w:rPr>
        <w:t>New York State Department of Taxation and Finance</w:t>
      </w:r>
    </w:p>
    <w:p w14:paraId="6585EE16" w14:textId="77777777" w:rsidR="00656111" w:rsidRPr="00656111" w:rsidRDefault="00656111" w:rsidP="00656111">
      <w:pPr>
        <w:ind w:left="2400" w:hanging="960"/>
        <w:jc w:val="both"/>
        <w:rPr>
          <w:rFonts w:eastAsia="Calibri" w:cs="Arial"/>
          <w:sz w:val="22"/>
          <w:szCs w:val="22"/>
        </w:rPr>
      </w:pPr>
      <w:r w:rsidRPr="00656111">
        <w:rPr>
          <w:rFonts w:eastAsia="Calibri" w:cs="Arial"/>
          <w:sz w:val="22"/>
          <w:szCs w:val="22"/>
        </w:rPr>
        <w:t>Procurement Services Unit</w:t>
      </w:r>
    </w:p>
    <w:p w14:paraId="5E0BAE69" w14:textId="77777777" w:rsidR="00656111" w:rsidRPr="00656111" w:rsidRDefault="00656111" w:rsidP="00656111">
      <w:pPr>
        <w:ind w:left="2400" w:hanging="960"/>
        <w:jc w:val="both"/>
        <w:rPr>
          <w:rFonts w:eastAsia="Calibri" w:cs="Arial"/>
          <w:sz w:val="22"/>
          <w:szCs w:val="22"/>
        </w:rPr>
      </w:pPr>
      <w:r w:rsidRPr="00656111">
        <w:rPr>
          <w:rFonts w:eastAsia="Calibri" w:cs="Arial"/>
          <w:sz w:val="22"/>
          <w:szCs w:val="22"/>
        </w:rPr>
        <w:t>Office of Budget and Management Analysis</w:t>
      </w:r>
    </w:p>
    <w:p w14:paraId="012EEBFB" w14:textId="77777777" w:rsidR="00656111" w:rsidRPr="00656111" w:rsidRDefault="00656111" w:rsidP="00656111">
      <w:pPr>
        <w:ind w:left="2400" w:hanging="960"/>
        <w:jc w:val="both"/>
        <w:rPr>
          <w:rFonts w:eastAsia="Calibri" w:cs="Arial"/>
          <w:sz w:val="22"/>
          <w:szCs w:val="22"/>
        </w:rPr>
      </w:pPr>
      <w:r w:rsidRPr="00656111">
        <w:rPr>
          <w:rFonts w:eastAsia="Calibri" w:cs="Arial"/>
          <w:sz w:val="22"/>
          <w:szCs w:val="22"/>
        </w:rPr>
        <w:t>W. A. Harriman State Office Building Campus</w:t>
      </w:r>
    </w:p>
    <w:p w14:paraId="001FBD00" w14:textId="77777777" w:rsidR="00656111" w:rsidRPr="00656111" w:rsidRDefault="00656111" w:rsidP="00656111">
      <w:pPr>
        <w:spacing w:after="200"/>
        <w:ind w:left="2400" w:hanging="960"/>
        <w:jc w:val="both"/>
        <w:rPr>
          <w:rFonts w:eastAsia="Calibri" w:cs="Arial"/>
          <w:sz w:val="22"/>
          <w:szCs w:val="22"/>
        </w:rPr>
      </w:pPr>
      <w:r w:rsidRPr="00656111">
        <w:rPr>
          <w:rFonts w:eastAsia="Calibri" w:cs="Arial"/>
          <w:sz w:val="22"/>
          <w:szCs w:val="22"/>
        </w:rPr>
        <w:t>Albany, NY 12227</w:t>
      </w:r>
    </w:p>
    <w:p w14:paraId="5CA2610C" w14:textId="77777777" w:rsidR="00656111" w:rsidRPr="00656111" w:rsidRDefault="00656111" w:rsidP="00656111">
      <w:pPr>
        <w:spacing w:after="200"/>
        <w:ind w:left="720"/>
        <w:jc w:val="both"/>
        <w:rPr>
          <w:rFonts w:eastAsia="Calibri" w:cs="Arial"/>
          <w:sz w:val="22"/>
          <w:szCs w:val="22"/>
        </w:rPr>
      </w:pPr>
      <w:r w:rsidRPr="00656111">
        <w:rPr>
          <w:rFonts w:eastAsia="Calibri" w:cs="Arial"/>
          <w:sz w:val="22"/>
          <w:szCs w:val="22"/>
        </w:rPr>
        <w:t>All Proposals should have a label on the outside of the package or shipping container outlining the following information:</w:t>
      </w:r>
    </w:p>
    <w:p w14:paraId="5C71E99A" w14:textId="77777777" w:rsidR="00656111" w:rsidRPr="00656111" w:rsidRDefault="00656111" w:rsidP="00656111">
      <w:pPr>
        <w:ind w:left="2340" w:hanging="900"/>
        <w:jc w:val="both"/>
        <w:rPr>
          <w:rFonts w:eastAsia="Calibri" w:cs="Arial"/>
          <w:sz w:val="22"/>
          <w:szCs w:val="22"/>
        </w:rPr>
      </w:pPr>
      <w:r w:rsidRPr="00656111">
        <w:rPr>
          <w:rFonts w:eastAsia="Calibri" w:cs="Arial"/>
          <w:sz w:val="22"/>
          <w:szCs w:val="22"/>
        </w:rPr>
        <w:t>“BID ENCLOSED”</w:t>
      </w:r>
    </w:p>
    <w:p w14:paraId="191B9E07" w14:textId="77777777" w:rsidR="00656111" w:rsidRPr="00656111" w:rsidRDefault="00656111" w:rsidP="00656111">
      <w:pPr>
        <w:ind w:left="2340" w:hanging="900"/>
        <w:jc w:val="both"/>
        <w:rPr>
          <w:rFonts w:eastAsia="Calibri" w:cs="Arial"/>
          <w:sz w:val="22"/>
          <w:szCs w:val="22"/>
        </w:rPr>
      </w:pPr>
      <w:r w:rsidRPr="00656111">
        <w:rPr>
          <w:rFonts w:eastAsia="Calibri" w:cs="Arial"/>
          <w:sz w:val="22"/>
          <w:szCs w:val="22"/>
        </w:rPr>
        <w:t>RFP 23-102</w:t>
      </w:r>
    </w:p>
    <w:p w14:paraId="538A274B" w14:textId="77777777" w:rsidR="00656111" w:rsidRPr="00656111" w:rsidRDefault="00656111" w:rsidP="00656111">
      <w:pPr>
        <w:tabs>
          <w:tab w:val="center" w:pos="5400"/>
        </w:tabs>
        <w:ind w:left="2340" w:hanging="900"/>
        <w:jc w:val="both"/>
        <w:rPr>
          <w:rFonts w:eastAsia="Calibri" w:cs="Arial"/>
          <w:sz w:val="22"/>
          <w:szCs w:val="22"/>
        </w:rPr>
      </w:pPr>
      <w:r w:rsidRPr="00656111">
        <w:rPr>
          <w:rFonts w:eastAsia="Calibri" w:cs="Arial"/>
          <w:sz w:val="22"/>
          <w:szCs w:val="22"/>
        </w:rPr>
        <w:t>Financial Institution</w:t>
      </w:r>
      <w:r w:rsidRPr="00656111">
        <w:rPr>
          <w:rFonts w:eastAsia="Calibri" w:cs="Arial"/>
          <w:sz w:val="22"/>
          <w:szCs w:val="22"/>
        </w:rPr>
        <w:tab/>
      </w:r>
    </w:p>
    <w:p w14:paraId="76123D49" w14:textId="77777777" w:rsidR="00656111" w:rsidRPr="00656111" w:rsidRDefault="00656111" w:rsidP="00656111">
      <w:pPr>
        <w:ind w:left="2340" w:hanging="900"/>
        <w:jc w:val="both"/>
        <w:rPr>
          <w:rFonts w:eastAsia="Calibri" w:cs="Arial"/>
          <w:sz w:val="22"/>
          <w:szCs w:val="22"/>
        </w:rPr>
      </w:pPr>
      <w:r w:rsidRPr="00656111">
        <w:rPr>
          <w:rFonts w:eastAsia="Calibri" w:cs="Arial"/>
          <w:sz w:val="22"/>
          <w:szCs w:val="22"/>
        </w:rPr>
        <w:t>Data Match Services</w:t>
      </w:r>
    </w:p>
    <w:p w14:paraId="34C61FF1" w14:textId="77777777" w:rsidR="00656111" w:rsidRPr="00656111" w:rsidRDefault="00656111" w:rsidP="00656111">
      <w:pPr>
        <w:spacing w:after="200"/>
        <w:ind w:left="2340" w:hanging="900"/>
        <w:jc w:val="both"/>
        <w:rPr>
          <w:rFonts w:eastAsia="Calibri" w:cs="Arial"/>
          <w:sz w:val="22"/>
          <w:szCs w:val="22"/>
        </w:rPr>
      </w:pPr>
      <w:r w:rsidRPr="00656111">
        <w:rPr>
          <w:rFonts w:eastAsia="Calibri" w:cs="Arial"/>
          <w:sz w:val="22"/>
          <w:szCs w:val="22"/>
        </w:rPr>
        <w:t>&lt;</w:t>
      </w:r>
      <w:r w:rsidRPr="00656111">
        <w:rPr>
          <w:rFonts w:eastAsia="Calibri" w:cs="Arial"/>
          <w:i/>
          <w:sz w:val="22"/>
          <w:szCs w:val="22"/>
        </w:rPr>
        <w:t>Bid Submission Date and time</w:t>
      </w:r>
      <w:r w:rsidRPr="00656111">
        <w:rPr>
          <w:rFonts w:eastAsia="Calibri" w:cs="Arial"/>
          <w:sz w:val="22"/>
          <w:szCs w:val="22"/>
        </w:rPr>
        <w:t>&gt;</w:t>
      </w:r>
    </w:p>
    <w:bookmarkEnd w:id="3"/>
    <w:p w14:paraId="794E78EB" w14:textId="65C5AF30" w:rsidR="00D240D9" w:rsidRPr="00D240D9" w:rsidRDefault="00D240D9" w:rsidP="00D240D9">
      <w:pPr>
        <w:tabs>
          <w:tab w:val="left" w:pos="2016"/>
        </w:tabs>
        <w:rPr>
          <w:rFonts w:cs="Arial"/>
          <w:sz w:val="22"/>
          <w:szCs w:val="22"/>
        </w:rPr>
      </w:pPr>
    </w:p>
    <w:sectPr w:rsidR="00D240D9" w:rsidRPr="00D240D9" w:rsidSect="00656111">
      <w:footerReference w:type="default" r:id="rId17"/>
      <w:type w:val="continuous"/>
      <w:pgSz w:w="12240" w:h="15840"/>
      <w:pgMar w:top="288" w:right="720" w:bottom="288"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E6EB" w14:textId="77777777" w:rsidR="00093C4F" w:rsidRDefault="00093C4F" w:rsidP="008B0D31">
      <w:r>
        <w:separator/>
      </w:r>
    </w:p>
  </w:endnote>
  <w:endnote w:type="continuationSeparator" w:id="0">
    <w:p w14:paraId="132AD3B8" w14:textId="77777777" w:rsidR="00093C4F" w:rsidRDefault="00093C4F"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roxima Nova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27D5292E" w14:textId="77777777" w:rsidR="00093C4F" w:rsidRDefault="00093C4F" w:rsidP="00DC1950">
            <w:pPr>
              <w:spacing w:before="200"/>
              <w:jc w:val="right"/>
            </w:pPr>
          </w:p>
          <w:tbl>
            <w:tblPr>
              <w:tblStyle w:val="TableGrid"/>
              <w:tblW w:w="10890" w:type="dxa"/>
              <w:tblInd w:w="-635" w:type="dxa"/>
              <w:tblLook w:val="04A0" w:firstRow="1" w:lastRow="0" w:firstColumn="1" w:lastColumn="0" w:noHBand="0" w:noVBand="1"/>
            </w:tblPr>
            <w:tblGrid>
              <w:gridCol w:w="10890"/>
            </w:tblGrid>
            <w:tr w:rsidR="00093C4F" w14:paraId="77C4DB46" w14:textId="77777777" w:rsidTr="00E24A82">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980A84A" w14:textId="4BB6EB4E" w:rsidR="00093C4F" w:rsidRPr="00E24A82" w:rsidRDefault="00093C4F" w:rsidP="00E24A8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2851CBFD" w14:textId="454ABE5B" w:rsidR="00093C4F" w:rsidRPr="002C2AA6" w:rsidRDefault="00120E80" w:rsidP="00E24A82"/>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74707"/>
      <w:docPartObj>
        <w:docPartGallery w:val="Page Numbers (Top of Page)"/>
        <w:docPartUnique/>
      </w:docPartObj>
    </w:sdtPr>
    <w:sdtEndPr/>
    <w:sdtContent>
      <w:p w14:paraId="58385767" w14:textId="712A60C4" w:rsidR="001478F6" w:rsidRDefault="00093C4F" w:rsidP="001478F6">
        <w:pPr>
          <w:pStyle w:val="Footer"/>
          <w:jc w:val="right"/>
        </w:pPr>
        <w:r w:rsidRPr="00CE68A0">
          <w:rPr>
            <w:rFonts w:cs="Arial"/>
            <w:color w:val="A6A6A6" w:themeColor="background1" w:themeShade="A6"/>
          </w:rPr>
          <w:t xml:space="preserve">RFP </w:t>
        </w:r>
        <w:r>
          <w:rPr>
            <w:rFonts w:cs="Arial"/>
            <w:color w:val="A6A6A6" w:themeColor="background1" w:themeShade="A6"/>
          </w:rPr>
          <w:t>2</w:t>
        </w:r>
        <w:r w:rsidR="00BB39C9">
          <w:rPr>
            <w:rFonts w:cs="Arial"/>
            <w:color w:val="A6A6A6" w:themeColor="background1" w:themeShade="A6"/>
          </w:rPr>
          <w:t>3</w:t>
        </w:r>
        <w:r w:rsidRPr="00CE68A0">
          <w:rPr>
            <w:rFonts w:cs="Arial"/>
            <w:color w:val="A6A6A6" w:themeColor="background1" w:themeShade="A6"/>
          </w:rPr>
          <w:t>-10</w:t>
        </w:r>
        <w:r w:rsidR="00BB39C9">
          <w:rPr>
            <w:rFonts w:cs="Arial"/>
            <w:color w:val="A6A6A6" w:themeColor="background1" w:themeShade="A6"/>
          </w:rPr>
          <w:t>2</w:t>
        </w:r>
        <w:r>
          <w:rPr>
            <w:rFonts w:cs="Arial"/>
            <w:color w:val="A6A6A6" w:themeColor="background1" w:themeShade="A6"/>
          </w:rPr>
          <w:t xml:space="preserve"> </w:t>
        </w:r>
        <w:r w:rsidR="00BB39C9" w:rsidRPr="00BB39C9">
          <w:rPr>
            <w:rFonts w:cs="Arial"/>
            <w:color w:val="A6A6A6" w:themeColor="background1" w:themeShade="A6"/>
          </w:rPr>
          <w:t>Financial Institution Data Match Services</w:t>
        </w:r>
        <w:r w:rsidRPr="00CE68A0">
          <w:rPr>
            <w:rFonts w:cs="Arial"/>
            <w:color w:val="A6A6A6" w:themeColor="background1" w:themeShade="A6"/>
          </w:rPr>
          <w:t xml:space="preserve">| </w:t>
        </w:r>
        <w:sdt>
          <w:sdtPr>
            <w:id w:val="1442955377"/>
            <w:docPartObj>
              <w:docPartGallery w:val="Page Numbers (Bottom of Page)"/>
              <w:docPartUnique/>
            </w:docPartObj>
          </w:sdtPr>
          <w:sdtEndPr/>
          <w:sdtContent>
            <w:sdt>
              <w:sdtPr>
                <w:id w:val="-1130709303"/>
                <w:docPartObj>
                  <w:docPartGallery w:val="Page Numbers (Top of Page)"/>
                  <w:docPartUnique/>
                </w:docPartObj>
              </w:sdtPr>
              <w:sdtEndPr/>
              <w:sdtContent>
                <w:r w:rsidR="001478F6">
                  <w:t xml:space="preserve">Page </w:t>
                </w:r>
                <w:r w:rsidR="001478F6">
                  <w:rPr>
                    <w:b/>
                    <w:bCs/>
                  </w:rPr>
                  <w:fldChar w:fldCharType="begin"/>
                </w:r>
                <w:r w:rsidR="001478F6">
                  <w:rPr>
                    <w:b/>
                    <w:bCs/>
                  </w:rPr>
                  <w:instrText xml:space="preserve"> PAGE </w:instrText>
                </w:r>
                <w:r w:rsidR="001478F6">
                  <w:rPr>
                    <w:b/>
                    <w:bCs/>
                  </w:rPr>
                  <w:fldChar w:fldCharType="separate"/>
                </w:r>
                <w:r w:rsidR="001478F6">
                  <w:rPr>
                    <w:b/>
                    <w:bCs/>
                  </w:rPr>
                  <w:t>1</w:t>
                </w:r>
                <w:r w:rsidR="001478F6">
                  <w:rPr>
                    <w:b/>
                    <w:bCs/>
                  </w:rPr>
                  <w:fldChar w:fldCharType="end"/>
                </w:r>
              </w:sdtContent>
            </w:sdt>
          </w:sdtContent>
        </w:sdt>
      </w:p>
      <w:p w14:paraId="3FE0FBA5" w14:textId="6A298531" w:rsidR="00093C4F" w:rsidRDefault="001478F6" w:rsidP="001F40A0">
        <w:pPr>
          <w:jc w:val="right"/>
        </w:pPr>
        <w:r>
          <w:rPr>
            <w:b/>
            <w:bCs/>
          </w:rPr>
          <w:t>Questions and Answers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026577"/>
      <w:docPartObj>
        <w:docPartGallery w:val="Page Numbers (Top of Page)"/>
        <w:docPartUnique/>
      </w:docPartObj>
    </w:sdtPr>
    <w:sdtEndPr/>
    <w:sdtContent>
      <w:p w14:paraId="4E233DFE" w14:textId="28A187E3" w:rsidR="001478F6" w:rsidRDefault="001478F6" w:rsidP="007412FB">
        <w:pPr>
          <w:pStyle w:val="Footer"/>
          <w:ind w:right="324"/>
          <w:jc w:val="right"/>
        </w:pPr>
        <w:r w:rsidRPr="00E83B20">
          <w:rPr>
            <w:rFonts w:cs="Arial"/>
            <w:color w:val="A6A6A6"/>
          </w:rPr>
          <w:t xml:space="preserve">RFP </w:t>
        </w:r>
        <w:r w:rsidR="00D240D9" w:rsidRPr="00E83B20">
          <w:rPr>
            <w:rFonts w:cs="Arial"/>
            <w:color w:val="A6A6A6"/>
          </w:rPr>
          <w:t>23-102</w:t>
        </w:r>
        <w:r w:rsidRPr="00E83B20">
          <w:rPr>
            <w:rFonts w:cs="Arial"/>
            <w:color w:val="A6A6A6"/>
          </w:rPr>
          <w:t xml:space="preserve"> </w:t>
        </w:r>
        <w:r w:rsidR="00D240D9" w:rsidRPr="00E83B20">
          <w:rPr>
            <w:rFonts w:cs="Arial"/>
            <w:color w:val="A6A6A6"/>
          </w:rPr>
          <w:t>Financial Institution Data Match Services</w:t>
        </w:r>
        <w:r w:rsidRPr="00E83B20">
          <w:rPr>
            <w:rFonts w:cs="Arial"/>
            <w:color w:val="A6A6A6"/>
          </w:rPr>
          <w:t xml:space="preserve">| </w:t>
        </w:r>
        <w:sdt>
          <w:sdtPr>
            <w:id w:val="742992783"/>
            <w:docPartObj>
              <w:docPartGallery w:val="Page Numbers (Bottom of Page)"/>
              <w:docPartUnique/>
            </w:docPartObj>
          </w:sdtPr>
          <w:sdtEndPr/>
          <w:sdtContent>
            <w:sdt>
              <w:sdtPr>
                <w:id w:val="1777052517"/>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sdtContent>
            </w:sdt>
          </w:sdtContent>
        </w:sdt>
      </w:p>
      <w:p w14:paraId="69DAD14A" w14:textId="2065B5D4" w:rsidR="00093C4F" w:rsidRPr="001478F6" w:rsidRDefault="001478F6" w:rsidP="007412FB">
        <w:pPr>
          <w:ind w:right="324"/>
          <w:jc w:val="right"/>
        </w:pPr>
        <w:r>
          <w:rPr>
            <w:b/>
            <w:bCs/>
          </w:rPr>
          <w:t>Questions and Answers</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812753021"/>
      <w:docPartObj>
        <w:docPartGallery w:val="Page Numbers (Bottom of Page)"/>
        <w:docPartUnique/>
      </w:docPartObj>
    </w:sdtPr>
    <w:sdtEndPr>
      <w:rPr>
        <w:b w:val="0"/>
        <w:bCs w:val="0"/>
      </w:rPr>
    </w:sdtEndPr>
    <w:sdtContent>
      <w:sdt>
        <w:sdtPr>
          <w:rPr>
            <w:rFonts w:cs="Arial"/>
            <w:b/>
            <w:bCs/>
          </w:rPr>
          <w:id w:val="-1832983454"/>
          <w:docPartObj>
            <w:docPartGallery w:val="Page Numbers (Top of Page)"/>
            <w:docPartUnique/>
          </w:docPartObj>
        </w:sdtPr>
        <w:sdtEndPr>
          <w:rPr>
            <w:b w:val="0"/>
            <w:bCs w:val="0"/>
          </w:rPr>
        </w:sdtEndPr>
        <w:sdtContent>
          <w:p w14:paraId="45CB5317" w14:textId="6FD53084" w:rsidR="00D240D9" w:rsidRPr="00D240D9" w:rsidRDefault="00D240D9" w:rsidP="00D240D9">
            <w:pPr>
              <w:pStyle w:val="Footer"/>
              <w:jc w:val="center"/>
              <w:rPr>
                <w:rFonts w:cs="Arial"/>
                <w:b/>
                <w:bCs/>
              </w:rPr>
            </w:pPr>
            <w:r w:rsidRPr="00D240D9">
              <w:rPr>
                <w:rFonts w:cs="Arial"/>
                <w:b/>
                <w:bCs/>
              </w:rPr>
              <w:t xml:space="preserve">                                                                                                                  Amendment </w:t>
            </w:r>
            <w:r w:rsidR="00D851A9">
              <w:rPr>
                <w:rFonts w:cs="Arial"/>
                <w:b/>
                <w:bCs/>
              </w:rPr>
              <w:t>#</w:t>
            </w:r>
            <w:r w:rsidRPr="00D240D9">
              <w:rPr>
                <w:rFonts w:cs="Arial"/>
                <w:b/>
                <w:bCs/>
              </w:rPr>
              <w:t>1</w:t>
            </w:r>
          </w:p>
          <w:p w14:paraId="7A5DB2EF" w14:textId="49464ECC" w:rsidR="00D240D9" w:rsidRDefault="00D240D9" w:rsidP="00D240D9">
            <w:pPr>
              <w:pStyle w:val="Footer"/>
            </w:pPr>
            <w:r w:rsidRPr="00024634">
              <w:rPr>
                <w:rFonts w:cs="Arial"/>
              </w:rPr>
              <w:t>RFP 23-102</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4</w:t>
            </w:r>
            <w:r w:rsidR="00656111">
              <w:rPr>
                <w:rFonts w:cs="Arial"/>
                <w:b/>
                <w:bCs/>
              </w:rPr>
              <w:t>0</w:t>
            </w:r>
          </w:p>
        </w:sdtContent>
      </w:sdt>
    </w:sdtContent>
  </w:sdt>
  <w:p w14:paraId="1AE471AD" w14:textId="5C3A7321" w:rsidR="00D240D9" w:rsidRPr="00D240D9" w:rsidRDefault="00D240D9" w:rsidP="00D240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996018657"/>
      <w:docPartObj>
        <w:docPartGallery w:val="Page Numbers (Bottom of Page)"/>
        <w:docPartUnique/>
      </w:docPartObj>
    </w:sdtPr>
    <w:sdtEndPr>
      <w:rPr>
        <w:b w:val="0"/>
        <w:bCs w:val="0"/>
      </w:rPr>
    </w:sdtEndPr>
    <w:sdtContent>
      <w:sdt>
        <w:sdtPr>
          <w:rPr>
            <w:rFonts w:cs="Arial"/>
            <w:b/>
            <w:bCs/>
          </w:rPr>
          <w:id w:val="70093219"/>
          <w:docPartObj>
            <w:docPartGallery w:val="Page Numbers (Top of Page)"/>
            <w:docPartUnique/>
          </w:docPartObj>
        </w:sdtPr>
        <w:sdtEndPr>
          <w:rPr>
            <w:b w:val="0"/>
            <w:bCs w:val="0"/>
          </w:rPr>
        </w:sdtEndPr>
        <w:sdtContent>
          <w:p w14:paraId="4E532856" w14:textId="60B32E6A" w:rsidR="00656111" w:rsidRPr="00D240D9" w:rsidRDefault="00656111" w:rsidP="00D240D9">
            <w:pPr>
              <w:pStyle w:val="Footer"/>
              <w:jc w:val="center"/>
              <w:rPr>
                <w:rFonts w:cs="Arial"/>
                <w:b/>
                <w:bCs/>
              </w:rPr>
            </w:pPr>
            <w:r w:rsidRPr="00D240D9">
              <w:rPr>
                <w:rFonts w:cs="Arial"/>
                <w:b/>
                <w:bCs/>
              </w:rPr>
              <w:t xml:space="preserve">                                                                                                                  Amendment </w:t>
            </w:r>
            <w:r w:rsidR="00D851A9">
              <w:rPr>
                <w:rFonts w:cs="Arial"/>
                <w:b/>
                <w:bCs/>
              </w:rPr>
              <w:t>#</w:t>
            </w:r>
            <w:r w:rsidRPr="00D240D9">
              <w:rPr>
                <w:rFonts w:cs="Arial"/>
                <w:b/>
                <w:bCs/>
              </w:rPr>
              <w:t>1</w:t>
            </w:r>
          </w:p>
          <w:p w14:paraId="673F39EA" w14:textId="77777777" w:rsidR="00656111" w:rsidRDefault="00656111" w:rsidP="00D240D9">
            <w:pPr>
              <w:pStyle w:val="Footer"/>
            </w:pPr>
            <w:r w:rsidRPr="00024634">
              <w:rPr>
                <w:rFonts w:cs="Arial"/>
              </w:rPr>
              <w:t>RFP 23-102</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41</w:t>
            </w:r>
          </w:p>
        </w:sdtContent>
      </w:sdt>
    </w:sdtContent>
  </w:sdt>
  <w:p w14:paraId="7F9DBB91" w14:textId="77777777" w:rsidR="00656111" w:rsidRPr="00D240D9" w:rsidRDefault="00656111" w:rsidP="00D2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C8AF" w14:textId="77777777" w:rsidR="00093C4F" w:rsidRDefault="00093C4F" w:rsidP="008B0D31">
      <w:r>
        <w:separator/>
      </w:r>
    </w:p>
  </w:footnote>
  <w:footnote w:type="continuationSeparator" w:id="0">
    <w:p w14:paraId="4BA5578A" w14:textId="77777777" w:rsidR="00093C4F" w:rsidRDefault="00093C4F"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53D9" w14:textId="77777777" w:rsidR="00120E80" w:rsidRDefault="00120E80" w:rsidP="00A173D6">
    <w:pPr>
      <w:spacing w:after="60"/>
      <w:jc w:val="center"/>
      <w:rPr>
        <w:rFonts w:cs="Arial"/>
      </w:rPr>
    </w:pPr>
    <w:r>
      <w:rPr>
        <w:rFonts w:cs="Arial"/>
      </w:rPr>
      <w:t>New York State Department of Taxation and Finance</w:t>
    </w:r>
  </w:p>
  <w:p w14:paraId="278677E3" w14:textId="77777777" w:rsidR="00120E80" w:rsidRDefault="00120E80" w:rsidP="00A173D6">
    <w:pPr>
      <w:spacing w:after="60"/>
      <w:jc w:val="center"/>
      <w:rPr>
        <w:rFonts w:cs="Arial"/>
      </w:rPr>
    </w:pPr>
    <w:r>
      <w:rPr>
        <w:rFonts w:cs="Arial"/>
      </w:rPr>
      <w:t>Request for Proposals (RFP) 23-102</w:t>
    </w:r>
  </w:p>
  <w:p w14:paraId="6CB200F3" w14:textId="77777777" w:rsidR="00120E80" w:rsidRPr="000907B0" w:rsidRDefault="00120E80" w:rsidP="00BB39C9">
    <w:pPr>
      <w:spacing w:after="60"/>
      <w:jc w:val="center"/>
      <w:rPr>
        <w:rFonts w:cs="Arial"/>
      </w:rPr>
    </w:pPr>
    <w:r w:rsidRPr="00BB39C9">
      <w:rPr>
        <w:rFonts w:cs="Arial"/>
      </w:rPr>
      <w:t>Financial Institution Data Match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E8C"/>
    <w:multiLevelType w:val="multilevel"/>
    <w:tmpl w:val="78F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0216E"/>
    <w:multiLevelType w:val="multilevel"/>
    <w:tmpl w:val="3D90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913A1"/>
    <w:multiLevelType w:val="multilevel"/>
    <w:tmpl w:val="8DD6EFD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3"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444646"/>
    <w:multiLevelType w:val="multilevel"/>
    <w:tmpl w:val="28581BCA"/>
    <w:lvl w:ilvl="0">
      <w:start w:val="7"/>
      <w:numFmt w:val="decimal"/>
      <w:lvlText w:val="%1."/>
      <w:lvlJc w:val="left"/>
      <w:pPr>
        <w:ind w:left="360" w:hanging="360"/>
      </w:pPr>
      <w:rPr>
        <w:rFonts w:hint="default"/>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15:restartNumberingAfterBreak="0">
    <w:nsid w:val="212E0FE1"/>
    <w:multiLevelType w:val="hybridMultilevel"/>
    <w:tmpl w:val="A0B0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F68DB"/>
    <w:multiLevelType w:val="multilevel"/>
    <w:tmpl w:val="A1CA5D9E"/>
    <w:lvl w:ilvl="0">
      <w:start w:val="1"/>
      <w:numFmt w:val="lowerLetter"/>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E31092"/>
    <w:multiLevelType w:val="multilevel"/>
    <w:tmpl w:val="F08A63AC"/>
    <w:lvl w:ilvl="0">
      <w:start w:val="8"/>
      <w:numFmt w:val="decimal"/>
      <w:lvlText w:val="%1."/>
      <w:lvlJc w:val="left"/>
      <w:pPr>
        <w:ind w:left="456" w:hanging="456"/>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10" w15:restartNumberingAfterBreak="0">
    <w:nsid w:val="2F7601C0"/>
    <w:multiLevelType w:val="hybridMultilevel"/>
    <w:tmpl w:val="D35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7022F"/>
    <w:multiLevelType w:val="multilevel"/>
    <w:tmpl w:val="F1365B3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Arial" w:hAnsi="Arial" w:cs="Arial" w:hint="default"/>
        <w:b/>
        <w:bCs w:val="0"/>
        <w:i w:val="0"/>
        <w:iCs w:val="0"/>
        <w:sz w:val="28"/>
        <w:szCs w:val="28"/>
      </w:rPr>
    </w:lvl>
    <w:lvl w:ilvl="2">
      <w:start w:val="1"/>
      <w:numFmt w:val="decimal"/>
      <w:lvlText w:val="%1.%2.%3."/>
      <w:lvlJc w:val="left"/>
      <w:pPr>
        <w:ind w:left="113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8F55CE"/>
    <w:multiLevelType w:val="hybridMultilevel"/>
    <w:tmpl w:val="056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BD15F2"/>
    <w:multiLevelType w:val="hybridMultilevel"/>
    <w:tmpl w:val="8678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82425"/>
    <w:multiLevelType w:val="hybridMultilevel"/>
    <w:tmpl w:val="5EAA26A6"/>
    <w:lvl w:ilvl="0" w:tplc="F88CD0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A7750"/>
    <w:multiLevelType w:val="multilevel"/>
    <w:tmpl w:val="BE184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A96307C"/>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676317C"/>
    <w:multiLevelType w:val="hybridMultilevel"/>
    <w:tmpl w:val="F48C5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BB4520B"/>
    <w:multiLevelType w:val="hybridMultilevel"/>
    <w:tmpl w:val="851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857124"/>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21D458E"/>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580D5B"/>
    <w:multiLevelType w:val="hybridMultilevel"/>
    <w:tmpl w:val="17E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128D8"/>
    <w:multiLevelType w:val="multilevel"/>
    <w:tmpl w:val="89E810F8"/>
    <w:lvl w:ilvl="0">
      <w:start w:val="9"/>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27"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28" w15:restartNumberingAfterBreak="0">
    <w:nsid w:val="7D6E432E"/>
    <w:multiLevelType w:val="multilevel"/>
    <w:tmpl w:val="0CD2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2550122">
    <w:abstractNumId w:val="13"/>
  </w:num>
  <w:num w:numId="2" w16cid:durableId="960958338">
    <w:abstractNumId w:val="3"/>
  </w:num>
  <w:num w:numId="3" w16cid:durableId="580606157">
    <w:abstractNumId w:val="27"/>
  </w:num>
  <w:num w:numId="4" w16cid:durableId="605500820">
    <w:abstractNumId w:val="20"/>
  </w:num>
  <w:num w:numId="5" w16cid:durableId="2078360339">
    <w:abstractNumId w:val="16"/>
  </w:num>
  <w:num w:numId="6" w16cid:durableId="2031056856">
    <w:abstractNumId w:val="26"/>
  </w:num>
  <w:num w:numId="7" w16cid:durableId="1000547950">
    <w:abstractNumId w:val="9"/>
  </w:num>
  <w:num w:numId="8" w16cid:durableId="101146076">
    <w:abstractNumId w:val="2"/>
  </w:num>
  <w:num w:numId="9" w16cid:durableId="757409023">
    <w:abstractNumId w:val="22"/>
  </w:num>
  <w:num w:numId="10" w16cid:durableId="1426152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934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68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001512">
    <w:abstractNumId w:val="6"/>
  </w:num>
  <w:num w:numId="14" w16cid:durableId="16179056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35690">
    <w:abstractNumId w:val="0"/>
  </w:num>
  <w:num w:numId="16" w16cid:durableId="57896806">
    <w:abstractNumId w:val="1"/>
  </w:num>
  <w:num w:numId="17" w16cid:durableId="434641360">
    <w:abstractNumId w:val="18"/>
  </w:num>
  <w:num w:numId="18" w16cid:durableId="567572599">
    <w:abstractNumId w:val="15"/>
  </w:num>
  <w:num w:numId="19" w16cid:durableId="1486237912">
    <w:abstractNumId w:val="25"/>
  </w:num>
  <w:num w:numId="20" w16cid:durableId="1676103275">
    <w:abstractNumId w:val="21"/>
  </w:num>
  <w:num w:numId="21" w16cid:durableId="570191921">
    <w:abstractNumId w:val="10"/>
  </w:num>
  <w:num w:numId="22" w16cid:durableId="518853922">
    <w:abstractNumId w:val="14"/>
  </w:num>
  <w:num w:numId="23" w16cid:durableId="1910844360">
    <w:abstractNumId w:val="12"/>
  </w:num>
  <w:num w:numId="24" w16cid:durableId="1149901969">
    <w:abstractNumId w:val="28"/>
  </w:num>
  <w:num w:numId="25" w16cid:durableId="1603877368">
    <w:abstractNumId w:val="19"/>
  </w:num>
  <w:num w:numId="26" w16cid:durableId="1955822996">
    <w:abstractNumId w:val="7"/>
  </w:num>
  <w:num w:numId="27" w16cid:durableId="1581669102">
    <w:abstractNumId w:val="5"/>
  </w:num>
  <w:num w:numId="28" w16cid:durableId="681591485">
    <w:abstractNumId w:val="11"/>
  </w:num>
  <w:num w:numId="29" w16cid:durableId="213170004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13E13"/>
    <w:rsid w:val="00021BD9"/>
    <w:rsid w:val="00050FE0"/>
    <w:rsid w:val="00065611"/>
    <w:rsid w:val="00071864"/>
    <w:rsid w:val="00075236"/>
    <w:rsid w:val="000907B0"/>
    <w:rsid w:val="00093C4F"/>
    <w:rsid w:val="000A0482"/>
    <w:rsid w:val="000C3826"/>
    <w:rsid w:val="000C51F6"/>
    <w:rsid w:val="000D472E"/>
    <w:rsid w:val="000D6FE1"/>
    <w:rsid w:val="001103DB"/>
    <w:rsid w:val="00120859"/>
    <w:rsid w:val="00120E80"/>
    <w:rsid w:val="001216D5"/>
    <w:rsid w:val="00122907"/>
    <w:rsid w:val="00126149"/>
    <w:rsid w:val="001478F6"/>
    <w:rsid w:val="00153D7B"/>
    <w:rsid w:val="00163171"/>
    <w:rsid w:val="00163E5A"/>
    <w:rsid w:val="0017262D"/>
    <w:rsid w:val="001816AB"/>
    <w:rsid w:val="00183FEC"/>
    <w:rsid w:val="0018461A"/>
    <w:rsid w:val="0019297E"/>
    <w:rsid w:val="00192E4A"/>
    <w:rsid w:val="001A10A3"/>
    <w:rsid w:val="001A57FD"/>
    <w:rsid w:val="001B2EB4"/>
    <w:rsid w:val="001E77B4"/>
    <w:rsid w:val="001E792E"/>
    <w:rsid w:val="001F40A0"/>
    <w:rsid w:val="00200061"/>
    <w:rsid w:val="002061FE"/>
    <w:rsid w:val="00214F45"/>
    <w:rsid w:val="0022482E"/>
    <w:rsid w:val="00230C6F"/>
    <w:rsid w:val="00232DF5"/>
    <w:rsid w:val="002338BA"/>
    <w:rsid w:val="00263C94"/>
    <w:rsid w:val="00267225"/>
    <w:rsid w:val="00277A06"/>
    <w:rsid w:val="00285CD0"/>
    <w:rsid w:val="0029250B"/>
    <w:rsid w:val="00295EBD"/>
    <w:rsid w:val="002A5C33"/>
    <w:rsid w:val="002A6D34"/>
    <w:rsid w:val="002A7A23"/>
    <w:rsid w:val="002C2AA6"/>
    <w:rsid w:val="002D3678"/>
    <w:rsid w:val="002E53A5"/>
    <w:rsid w:val="002F00D4"/>
    <w:rsid w:val="003030B7"/>
    <w:rsid w:val="003129E2"/>
    <w:rsid w:val="00332067"/>
    <w:rsid w:val="003339DF"/>
    <w:rsid w:val="0034171C"/>
    <w:rsid w:val="00344696"/>
    <w:rsid w:val="00346819"/>
    <w:rsid w:val="0035477B"/>
    <w:rsid w:val="00372848"/>
    <w:rsid w:val="00380C0A"/>
    <w:rsid w:val="00382AD9"/>
    <w:rsid w:val="003932CF"/>
    <w:rsid w:val="003E4E86"/>
    <w:rsid w:val="003F2A24"/>
    <w:rsid w:val="003F7668"/>
    <w:rsid w:val="00412CAD"/>
    <w:rsid w:val="00434764"/>
    <w:rsid w:val="00442A38"/>
    <w:rsid w:val="00450372"/>
    <w:rsid w:val="0046704C"/>
    <w:rsid w:val="004700E6"/>
    <w:rsid w:val="004A5632"/>
    <w:rsid w:val="004A6583"/>
    <w:rsid w:val="004D4E09"/>
    <w:rsid w:val="004D6472"/>
    <w:rsid w:val="004E445F"/>
    <w:rsid w:val="004E6674"/>
    <w:rsid w:val="0052196B"/>
    <w:rsid w:val="00527933"/>
    <w:rsid w:val="0053237A"/>
    <w:rsid w:val="00541AF9"/>
    <w:rsid w:val="00546285"/>
    <w:rsid w:val="00550E72"/>
    <w:rsid w:val="00552AEC"/>
    <w:rsid w:val="0056750A"/>
    <w:rsid w:val="005810E8"/>
    <w:rsid w:val="005862EC"/>
    <w:rsid w:val="005900D7"/>
    <w:rsid w:val="005909AB"/>
    <w:rsid w:val="005A0BB8"/>
    <w:rsid w:val="005B3E20"/>
    <w:rsid w:val="005D28D4"/>
    <w:rsid w:val="005E02FD"/>
    <w:rsid w:val="005E20EC"/>
    <w:rsid w:val="005F7EB4"/>
    <w:rsid w:val="006048D5"/>
    <w:rsid w:val="00617CB5"/>
    <w:rsid w:val="00617DDE"/>
    <w:rsid w:val="006327AC"/>
    <w:rsid w:val="00632EDB"/>
    <w:rsid w:val="00643312"/>
    <w:rsid w:val="006502F1"/>
    <w:rsid w:val="0065436A"/>
    <w:rsid w:val="006550BA"/>
    <w:rsid w:val="00656111"/>
    <w:rsid w:val="00660306"/>
    <w:rsid w:val="00694DC2"/>
    <w:rsid w:val="006B759D"/>
    <w:rsid w:val="006C1ACC"/>
    <w:rsid w:val="006C43C7"/>
    <w:rsid w:val="006C790D"/>
    <w:rsid w:val="006D3202"/>
    <w:rsid w:val="006E2685"/>
    <w:rsid w:val="00736073"/>
    <w:rsid w:val="007412FB"/>
    <w:rsid w:val="00741450"/>
    <w:rsid w:val="00745739"/>
    <w:rsid w:val="00765553"/>
    <w:rsid w:val="0076746E"/>
    <w:rsid w:val="00782846"/>
    <w:rsid w:val="00793017"/>
    <w:rsid w:val="007A445E"/>
    <w:rsid w:val="007A660D"/>
    <w:rsid w:val="007B4D00"/>
    <w:rsid w:val="007B5663"/>
    <w:rsid w:val="007C2BF9"/>
    <w:rsid w:val="007C5D55"/>
    <w:rsid w:val="007E0A42"/>
    <w:rsid w:val="007F3C50"/>
    <w:rsid w:val="007F6555"/>
    <w:rsid w:val="00806257"/>
    <w:rsid w:val="00815750"/>
    <w:rsid w:val="00834390"/>
    <w:rsid w:val="008411E6"/>
    <w:rsid w:val="008420E4"/>
    <w:rsid w:val="0084416B"/>
    <w:rsid w:val="00846EFE"/>
    <w:rsid w:val="00847456"/>
    <w:rsid w:val="00867FD2"/>
    <w:rsid w:val="008711CC"/>
    <w:rsid w:val="0088134C"/>
    <w:rsid w:val="00895D38"/>
    <w:rsid w:val="008A04EA"/>
    <w:rsid w:val="008A26F4"/>
    <w:rsid w:val="008B0D31"/>
    <w:rsid w:val="008B1427"/>
    <w:rsid w:val="008E0EA7"/>
    <w:rsid w:val="008E2554"/>
    <w:rsid w:val="008E7C58"/>
    <w:rsid w:val="008F6CBE"/>
    <w:rsid w:val="008F729F"/>
    <w:rsid w:val="009041B3"/>
    <w:rsid w:val="00907151"/>
    <w:rsid w:val="009146F2"/>
    <w:rsid w:val="0091763D"/>
    <w:rsid w:val="00946AD8"/>
    <w:rsid w:val="009567A7"/>
    <w:rsid w:val="00963FF6"/>
    <w:rsid w:val="00967FD6"/>
    <w:rsid w:val="00990419"/>
    <w:rsid w:val="00997BB9"/>
    <w:rsid w:val="009A42C6"/>
    <w:rsid w:val="009B052B"/>
    <w:rsid w:val="009C0F2A"/>
    <w:rsid w:val="009C4E6D"/>
    <w:rsid w:val="00A01791"/>
    <w:rsid w:val="00A173D6"/>
    <w:rsid w:val="00A239F3"/>
    <w:rsid w:val="00A26A7B"/>
    <w:rsid w:val="00A27F16"/>
    <w:rsid w:val="00A42C61"/>
    <w:rsid w:val="00A5078C"/>
    <w:rsid w:val="00A539BB"/>
    <w:rsid w:val="00A55381"/>
    <w:rsid w:val="00A702AE"/>
    <w:rsid w:val="00A86C06"/>
    <w:rsid w:val="00A87C6F"/>
    <w:rsid w:val="00AA0ED6"/>
    <w:rsid w:val="00AA350D"/>
    <w:rsid w:val="00AA756E"/>
    <w:rsid w:val="00AB07D9"/>
    <w:rsid w:val="00AB41C4"/>
    <w:rsid w:val="00AB450E"/>
    <w:rsid w:val="00AD0AEE"/>
    <w:rsid w:val="00AE1C49"/>
    <w:rsid w:val="00AF3BC9"/>
    <w:rsid w:val="00B01A2B"/>
    <w:rsid w:val="00B02B0D"/>
    <w:rsid w:val="00B07FE7"/>
    <w:rsid w:val="00B101FB"/>
    <w:rsid w:val="00B202E9"/>
    <w:rsid w:val="00B30439"/>
    <w:rsid w:val="00B356A5"/>
    <w:rsid w:val="00B37105"/>
    <w:rsid w:val="00B537A7"/>
    <w:rsid w:val="00B72A51"/>
    <w:rsid w:val="00B735A6"/>
    <w:rsid w:val="00B935B4"/>
    <w:rsid w:val="00B952CD"/>
    <w:rsid w:val="00BA311D"/>
    <w:rsid w:val="00BB1150"/>
    <w:rsid w:val="00BB39C9"/>
    <w:rsid w:val="00BB5887"/>
    <w:rsid w:val="00BC141F"/>
    <w:rsid w:val="00BC1DAD"/>
    <w:rsid w:val="00BC7AB7"/>
    <w:rsid w:val="00BD2C79"/>
    <w:rsid w:val="00BF26AD"/>
    <w:rsid w:val="00BF341E"/>
    <w:rsid w:val="00BF4089"/>
    <w:rsid w:val="00BF6ED8"/>
    <w:rsid w:val="00C26890"/>
    <w:rsid w:val="00C418A7"/>
    <w:rsid w:val="00C538B4"/>
    <w:rsid w:val="00C54B58"/>
    <w:rsid w:val="00C715E2"/>
    <w:rsid w:val="00C71F43"/>
    <w:rsid w:val="00C732B2"/>
    <w:rsid w:val="00C82D00"/>
    <w:rsid w:val="00CD1702"/>
    <w:rsid w:val="00CD375C"/>
    <w:rsid w:val="00CD3916"/>
    <w:rsid w:val="00CF7D0F"/>
    <w:rsid w:val="00D11EB1"/>
    <w:rsid w:val="00D240D9"/>
    <w:rsid w:val="00D26A68"/>
    <w:rsid w:val="00D30A17"/>
    <w:rsid w:val="00D43710"/>
    <w:rsid w:val="00D538CF"/>
    <w:rsid w:val="00D619E3"/>
    <w:rsid w:val="00D81AB6"/>
    <w:rsid w:val="00D851A9"/>
    <w:rsid w:val="00D9070A"/>
    <w:rsid w:val="00D90B6F"/>
    <w:rsid w:val="00D91422"/>
    <w:rsid w:val="00DA2132"/>
    <w:rsid w:val="00DA5A04"/>
    <w:rsid w:val="00DC1950"/>
    <w:rsid w:val="00DC2FA6"/>
    <w:rsid w:val="00DC68F7"/>
    <w:rsid w:val="00DD1A7A"/>
    <w:rsid w:val="00DD4FB4"/>
    <w:rsid w:val="00DD5340"/>
    <w:rsid w:val="00DD591A"/>
    <w:rsid w:val="00DE3D85"/>
    <w:rsid w:val="00E00934"/>
    <w:rsid w:val="00E02B12"/>
    <w:rsid w:val="00E03FB9"/>
    <w:rsid w:val="00E040F3"/>
    <w:rsid w:val="00E07450"/>
    <w:rsid w:val="00E24A82"/>
    <w:rsid w:val="00E269FA"/>
    <w:rsid w:val="00E31EC7"/>
    <w:rsid w:val="00E51C43"/>
    <w:rsid w:val="00E5282D"/>
    <w:rsid w:val="00E62F25"/>
    <w:rsid w:val="00E73869"/>
    <w:rsid w:val="00E76021"/>
    <w:rsid w:val="00E7725A"/>
    <w:rsid w:val="00E7733E"/>
    <w:rsid w:val="00E83B20"/>
    <w:rsid w:val="00E9626D"/>
    <w:rsid w:val="00EA30D0"/>
    <w:rsid w:val="00EB2373"/>
    <w:rsid w:val="00EB6912"/>
    <w:rsid w:val="00ED053E"/>
    <w:rsid w:val="00EE1932"/>
    <w:rsid w:val="00EE23F1"/>
    <w:rsid w:val="00F04B42"/>
    <w:rsid w:val="00F2091B"/>
    <w:rsid w:val="00F2571C"/>
    <w:rsid w:val="00F26534"/>
    <w:rsid w:val="00F6492D"/>
    <w:rsid w:val="00F8350F"/>
    <w:rsid w:val="00F8499B"/>
    <w:rsid w:val="00F876FA"/>
    <w:rsid w:val="00F96D41"/>
    <w:rsid w:val="00FA5FE5"/>
    <w:rsid w:val="00FB6F1D"/>
    <w:rsid w:val="00FD7715"/>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nhideWhenUsed/>
    <w:rsid w:val="008B0D31"/>
    <w:pPr>
      <w:tabs>
        <w:tab w:val="center" w:pos="4680"/>
        <w:tab w:val="right" w:pos="9360"/>
      </w:tabs>
    </w:pPr>
  </w:style>
  <w:style w:type="character" w:customStyle="1" w:styleId="HeaderChar">
    <w:name w:val="Header Char"/>
    <w:aliases w:val="Alt Header Char"/>
    <w:basedOn w:val="DefaultParagraphFont"/>
    <w:link w:val="Header"/>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link w:val="ListParagraphChar"/>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unhideWhenUsed/>
    <w:rsid w:val="00541AF9"/>
    <w:rPr>
      <w:sz w:val="20"/>
      <w:szCs w:val="20"/>
    </w:rPr>
  </w:style>
  <w:style w:type="character" w:customStyle="1" w:styleId="CommentTextChar">
    <w:name w:val="Comment Text Char"/>
    <w:basedOn w:val="DefaultParagraphFont"/>
    <w:link w:val="CommentText"/>
    <w:uiPriority w:val="99"/>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 w:type="character" w:customStyle="1" w:styleId="ListParagraphChar">
    <w:name w:val="List Paragraph Char"/>
    <w:basedOn w:val="DefaultParagraphFont"/>
    <w:link w:val="ListParagraph"/>
    <w:uiPriority w:val="1"/>
    <w:locked/>
    <w:rsid w:val="00617DDE"/>
    <w:rPr>
      <w:rFonts w:ascii="Calibri" w:eastAsia="Calibri" w:hAnsi="Calibri" w:cs="Times New Roman"/>
    </w:rPr>
  </w:style>
  <w:style w:type="paragraph" w:styleId="PlainText">
    <w:name w:val="Plain Text"/>
    <w:basedOn w:val="Normal"/>
    <w:link w:val="PlainTextChar"/>
    <w:rsid w:val="00C71F43"/>
    <w:rPr>
      <w:rFonts w:ascii="Times New Roman" w:eastAsia="MS Mincho" w:hAnsi="Times New Roman"/>
      <w:sz w:val="20"/>
      <w:szCs w:val="20"/>
    </w:rPr>
  </w:style>
  <w:style w:type="character" w:customStyle="1" w:styleId="PlainTextChar">
    <w:name w:val="Plain Text Char"/>
    <w:basedOn w:val="DefaultParagraphFont"/>
    <w:link w:val="PlainText"/>
    <w:rsid w:val="00C71F43"/>
    <w:rPr>
      <w:rFonts w:ascii="Times New Roman" w:eastAsia="MS Mincho" w:hAnsi="Times New Roman" w:cs="Times New Roman"/>
      <w:sz w:val="20"/>
      <w:szCs w:val="20"/>
    </w:rPr>
  </w:style>
  <w:style w:type="paragraph" w:customStyle="1" w:styleId="AnswerLevel2">
    <w:name w:val="Answer Level 2"/>
    <w:link w:val="AnswerLevel2CharChar"/>
    <w:rsid w:val="00C71F43"/>
    <w:pPr>
      <w:spacing w:after="0" w:line="240" w:lineRule="auto"/>
      <w:ind w:left="720"/>
    </w:pPr>
    <w:rPr>
      <w:rFonts w:ascii="Times New Roman" w:eastAsia="Times New Roman" w:hAnsi="Times New Roman" w:cs="Times New Roman"/>
      <w:kern w:val="20"/>
      <w:sz w:val="24"/>
      <w:szCs w:val="20"/>
    </w:rPr>
  </w:style>
  <w:style w:type="character" w:customStyle="1" w:styleId="AnswerLevel2CharChar">
    <w:name w:val="Answer Level 2 Char Char"/>
    <w:link w:val="AnswerLevel2"/>
    <w:rsid w:val="00C71F43"/>
    <w:rPr>
      <w:rFonts w:ascii="Times New Roman" w:eastAsia="Times New Roman" w:hAnsi="Times New Roman" w:cs="Times New Roman"/>
      <w:kern w:val="20"/>
      <w:sz w:val="24"/>
      <w:szCs w:val="20"/>
    </w:rPr>
  </w:style>
  <w:style w:type="paragraph" w:customStyle="1" w:styleId="Default">
    <w:name w:val="Default"/>
    <w:rsid w:val="00C71F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C71F4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154">
      <w:bodyDiv w:val="1"/>
      <w:marLeft w:val="0"/>
      <w:marRight w:val="0"/>
      <w:marTop w:val="0"/>
      <w:marBottom w:val="0"/>
      <w:divBdr>
        <w:top w:val="none" w:sz="0" w:space="0" w:color="auto"/>
        <w:left w:val="none" w:sz="0" w:space="0" w:color="auto"/>
        <w:bottom w:val="none" w:sz="0" w:space="0" w:color="auto"/>
        <w:right w:val="none" w:sz="0" w:space="0" w:color="auto"/>
      </w:divBdr>
    </w:div>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rivacy-disclosure/background-investigation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file:///\\dtf-smb\dtf_shared\Share\Obma\BBUDACTG-BPROCURE\CMU\RFP's\PENDING%20RFP's\dtf_home\P39442\bfs.contracts@tax.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pdf/p1075.pdf"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dc:creator>
  <cp:keywords/>
  <dc:description/>
  <cp:lastModifiedBy>Matthew Brownell (TAX)</cp:lastModifiedBy>
  <cp:revision>15</cp:revision>
  <cp:lastPrinted>2020-09-16T20:47:00Z</cp:lastPrinted>
  <dcterms:created xsi:type="dcterms:W3CDTF">2023-11-27T16:02:00Z</dcterms:created>
  <dcterms:modified xsi:type="dcterms:W3CDTF">2023-12-07T17:17:00Z</dcterms:modified>
</cp:coreProperties>
</file>