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31"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6"/>
        <w:gridCol w:w="2963"/>
        <w:gridCol w:w="3762"/>
      </w:tblGrid>
      <w:tr w:rsidR="00A038C7" w:rsidRPr="00643312" w14:paraId="0760CA34" w14:textId="77777777" w:rsidTr="005A13A0">
        <w:trPr>
          <w:trHeight w:val="1017"/>
          <w:jc w:val="center"/>
        </w:trPr>
        <w:tc>
          <w:tcPr>
            <w:tcW w:w="11131" w:type="dxa"/>
            <w:gridSpan w:val="3"/>
          </w:tcPr>
          <w:p w14:paraId="00863482" w14:textId="77777777" w:rsidR="00A038C7" w:rsidRPr="00643312" w:rsidRDefault="00A038C7" w:rsidP="005A13A0">
            <w:pPr>
              <w:ind w:left="733"/>
              <w:rPr>
                <w:rFonts w:cs="Arial"/>
                <w:i/>
              </w:rPr>
            </w:pPr>
            <w:r w:rsidRPr="00643312">
              <w:rPr>
                <w:rFonts w:cs="Arial"/>
                <w:i/>
                <w:noProof/>
              </w:rPr>
              <w:drawing>
                <wp:inline distT="0" distB="0" distL="0" distR="0" wp14:anchorId="620C1657" wp14:editId="04C1E93E">
                  <wp:extent cx="3347257" cy="6000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 Identifier Lockup 7474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62489" cy="602806"/>
                          </a:xfrm>
                          <a:prstGeom prst="rect">
                            <a:avLst/>
                          </a:prstGeom>
                        </pic:spPr>
                      </pic:pic>
                    </a:graphicData>
                  </a:graphic>
                </wp:inline>
              </w:drawing>
            </w:r>
          </w:p>
          <w:p w14:paraId="379918FF" w14:textId="77777777" w:rsidR="00A038C7" w:rsidRPr="00643312" w:rsidRDefault="00A038C7" w:rsidP="005A13A0">
            <w:pPr>
              <w:ind w:left="45"/>
              <w:rPr>
                <w:rFonts w:cs="Arial"/>
                <w:i/>
              </w:rPr>
            </w:pPr>
          </w:p>
        </w:tc>
      </w:tr>
      <w:tr w:rsidR="00A038C7" w:rsidRPr="00643312" w14:paraId="678DA65A" w14:textId="77777777" w:rsidTr="005A13A0">
        <w:trPr>
          <w:trHeight w:val="551"/>
          <w:jc w:val="center"/>
        </w:trPr>
        <w:tc>
          <w:tcPr>
            <w:tcW w:w="4406" w:type="dxa"/>
            <w:vAlign w:val="center"/>
          </w:tcPr>
          <w:p w14:paraId="2739EA7C" w14:textId="77777777" w:rsidR="00A038C7" w:rsidRPr="00643312" w:rsidRDefault="00A038C7" w:rsidP="005A13A0">
            <w:pPr>
              <w:spacing w:before="160"/>
              <w:ind w:left="733"/>
              <w:rPr>
                <w:rFonts w:cs="Arial"/>
                <w:b/>
                <w:caps/>
                <w:noProof/>
                <w:sz w:val="20"/>
              </w:rPr>
            </w:pPr>
            <w:r w:rsidRPr="00643312">
              <w:rPr>
                <w:rFonts w:cs="Arial"/>
                <w:b/>
                <w:color w:val="007681"/>
              </w:rPr>
              <w:t>BUREAU OF FISCAL SERVICES</w:t>
            </w:r>
            <w:r w:rsidRPr="00643312">
              <w:rPr>
                <w:rFonts w:cs="Arial"/>
                <w:b/>
                <w:caps/>
                <w:noProof/>
                <w:sz w:val="20"/>
              </w:rPr>
              <w:t xml:space="preserve"> </w:t>
            </w:r>
          </w:p>
          <w:p w14:paraId="73E5565C" w14:textId="77777777" w:rsidR="00A038C7" w:rsidRPr="00643312" w:rsidRDefault="00A038C7" w:rsidP="005A13A0">
            <w:pPr>
              <w:spacing w:before="60"/>
              <w:ind w:left="734"/>
              <w:rPr>
                <w:rFonts w:cs="Arial"/>
                <w:b/>
                <w:caps/>
                <w:noProof/>
                <w:sz w:val="20"/>
              </w:rPr>
            </w:pPr>
            <w:r w:rsidRPr="00643312">
              <w:rPr>
                <w:rFonts w:cs="Arial"/>
                <w:b/>
                <w:caps/>
                <w:noProof/>
                <w:sz w:val="20"/>
              </w:rPr>
              <w:t>Procurement Unit</w:t>
            </w:r>
          </w:p>
          <w:p w14:paraId="402EF3EB" w14:textId="77777777" w:rsidR="00A038C7" w:rsidRPr="00643312" w:rsidRDefault="00A038C7" w:rsidP="005A13A0">
            <w:pPr>
              <w:spacing w:before="60"/>
              <w:ind w:left="734"/>
              <w:rPr>
                <w:rFonts w:cs="Arial"/>
                <w:b/>
                <w:caps/>
                <w:noProof/>
                <w:sz w:val="20"/>
              </w:rPr>
            </w:pPr>
          </w:p>
          <w:p w14:paraId="645058CF" w14:textId="77777777" w:rsidR="00A038C7" w:rsidRPr="00643312" w:rsidRDefault="00A038C7" w:rsidP="005A13A0">
            <w:pPr>
              <w:spacing w:before="60"/>
              <w:ind w:left="734"/>
              <w:rPr>
                <w:rFonts w:cs="Arial"/>
                <w:b/>
                <w:caps/>
                <w:noProof/>
                <w:sz w:val="20"/>
              </w:rPr>
            </w:pPr>
          </w:p>
        </w:tc>
        <w:tc>
          <w:tcPr>
            <w:tcW w:w="2963" w:type="dxa"/>
            <w:vAlign w:val="center"/>
          </w:tcPr>
          <w:p w14:paraId="796BE040" w14:textId="77777777" w:rsidR="00A038C7" w:rsidRPr="00643312" w:rsidRDefault="00A038C7" w:rsidP="005A13A0">
            <w:pPr>
              <w:ind w:left="250"/>
              <w:rPr>
                <w:rFonts w:cs="Arial"/>
                <w:noProof/>
              </w:rPr>
            </w:pPr>
          </w:p>
        </w:tc>
        <w:tc>
          <w:tcPr>
            <w:tcW w:w="3762" w:type="dxa"/>
            <w:vAlign w:val="center"/>
          </w:tcPr>
          <w:p w14:paraId="3A86FC66" w14:textId="77777777" w:rsidR="00A038C7" w:rsidRPr="00643312" w:rsidRDefault="00A038C7" w:rsidP="005A13A0">
            <w:pPr>
              <w:ind w:left="593"/>
              <w:rPr>
                <w:rFonts w:cs="Arial"/>
                <w:caps/>
                <w:noProof/>
                <w:sz w:val="20"/>
              </w:rPr>
            </w:pPr>
          </w:p>
        </w:tc>
      </w:tr>
    </w:tbl>
    <w:p w14:paraId="4033A79B" w14:textId="45A91BDE" w:rsidR="00A038C7" w:rsidRPr="00120E80" w:rsidRDefault="00A038C7" w:rsidP="00A038C7">
      <w:pPr>
        <w:jc w:val="center"/>
        <w:rPr>
          <w:rFonts w:eastAsia="Calibri" w:cs="Arial"/>
          <w:b/>
          <w:bCs/>
          <w:sz w:val="26"/>
          <w:szCs w:val="26"/>
        </w:rPr>
      </w:pPr>
      <w:r>
        <w:rPr>
          <w:rFonts w:eastAsia="Calibri" w:cs="Arial"/>
          <w:b/>
          <w:bCs/>
          <w:sz w:val="26"/>
          <w:szCs w:val="26"/>
        </w:rPr>
        <w:t>March 2</w:t>
      </w:r>
      <w:r w:rsidR="00AF4A3F">
        <w:rPr>
          <w:rFonts w:eastAsia="Calibri" w:cs="Arial"/>
          <w:b/>
          <w:bCs/>
          <w:sz w:val="26"/>
          <w:szCs w:val="26"/>
        </w:rPr>
        <w:t>7</w:t>
      </w:r>
      <w:r w:rsidRPr="00120E80">
        <w:rPr>
          <w:rFonts w:eastAsia="Calibri" w:cs="Arial"/>
          <w:b/>
          <w:bCs/>
          <w:sz w:val="26"/>
          <w:szCs w:val="26"/>
        </w:rPr>
        <w:t>, 202</w:t>
      </w:r>
      <w:r>
        <w:rPr>
          <w:rFonts w:eastAsia="Calibri" w:cs="Arial"/>
          <w:b/>
          <w:bCs/>
          <w:sz w:val="26"/>
          <w:szCs w:val="26"/>
        </w:rPr>
        <w:t>4</w:t>
      </w:r>
    </w:p>
    <w:p w14:paraId="18B1C824" w14:textId="77777777" w:rsidR="00A038C7" w:rsidRPr="00643312" w:rsidRDefault="00A038C7" w:rsidP="00A038C7">
      <w:pPr>
        <w:jc w:val="center"/>
        <w:rPr>
          <w:rFonts w:cs="Arial"/>
          <w:b/>
        </w:rPr>
      </w:pPr>
    </w:p>
    <w:p w14:paraId="7757D6F4" w14:textId="77777777" w:rsidR="00A038C7" w:rsidRPr="00643312" w:rsidRDefault="00A038C7" w:rsidP="00A038C7">
      <w:pPr>
        <w:jc w:val="center"/>
        <w:rPr>
          <w:rFonts w:eastAsia="Calibri" w:cs="Arial"/>
          <w:b/>
          <w:bCs/>
          <w:sz w:val="26"/>
          <w:szCs w:val="26"/>
        </w:rPr>
      </w:pPr>
      <w:r w:rsidRPr="00643312">
        <w:rPr>
          <w:rFonts w:eastAsia="Calibri" w:cs="Arial"/>
          <w:b/>
          <w:bCs/>
          <w:sz w:val="26"/>
          <w:szCs w:val="26"/>
        </w:rPr>
        <w:t>Request for Proposals (RFP) 2</w:t>
      </w:r>
      <w:r>
        <w:rPr>
          <w:rFonts w:eastAsia="Calibri" w:cs="Arial"/>
          <w:b/>
          <w:bCs/>
          <w:sz w:val="26"/>
          <w:szCs w:val="26"/>
        </w:rPr>
        <w:t>3</w:t>
      </w:r>
      <w:r w:rsidRPr="00643312">
        <w:rPr>
          <w:rFonts w:eastAsia="Calibri" w:cs="Arial"/>
          <w:b/>
          <w:bCs/>
          <w:sz w:val="26"/>
          <w:szCs w:val="26"/>
        </w:rPr>
        <w:t>-10</w:t>
      </w:r>
      <w:r>
        <w:rPr>
          <w:rFonts w:eastAsia="Calibri" w:cs="Arial"/>
          <w:b/>
          <w:bCs/>
          <w:sz w:val="26"/>
          <w:szCs w:val="26"/>
        </w:rPr>
        <w:t>1</w:t>
      </w:r>
      <w:r w:rsidRPr="00643312">
        <w:rPr>
          <w:rFonts w:eastAsia="Calibri" w:cs="Arial"/>
          <w:b/>
          <w:bCs/>
          <w:sz w:val="26"/>
          <w:szCs w:val="26"/>
        </w:rPr>
        <w:t xml:space="preserve"> </w:t>
      </w:r>
    </w:p>
    <w:p w14:paraId="7FDE5296" w14:textId="77777777" w:rsidR="00A038C7" w:rsidRPr="00643312" w:rsidRDefault="00A038C7" w:rsidP="00A038C7">
      <w:pPr>
        <w:jc w:val="center"/>
        <w:rPr>
          <w:rFonts w:eastAsia="Calibri" w:cs="Arial"/>
          <w:b/>
          <w:bCs/>
          <w:sz w:val="26"/>
          <w:szCs w:val="26"/>
        </w:rPr>
      </w:pPr>
      <w:r>
        <w:rPr>
          <w:rFonts w:eastAsia="Calibri" w:cs="Arial"/>
          <w:b/>
          <w:bCs/>
          <w:sz w:val="26"/>
          <w:szCs w:val="26"/>
        </w:rPr>
        <w:t>Cigarette Tax Stamps Manufacturing Solution</w:t>
      </w:r>
    </w:p>
    <w:p w14:paraId="0F133FC1" w14:textId="77777777" w:rsidR="00A038C7" w:rsidRPr="00643312" w:rsidRDefault="00A038C7" w:rsidP="00A038C7">
      <w:pPr>
        <w:jc w:val="center"/>
        <w:rPr>
          <w:rFonts w:eastAsia="Calibri" w:cs="Arial"/>
          <w:b/>
          <w:bCs/>
          <w:sz w:val="26"/>
          <w:szCs w:val="26"/>
        </w:rPr>
      </w:pPr>
    </w:p>
    <w:p w14:paraId="70817AF2" w14:textId="77777777" w:rsidR="00A038C7" w:rsidRPr="00643312" w:rsidRDefault="00A038C7" w:rsidP="00A038C7">
      <w:pPr>
        <w:jc w:val="center"/>
        <w:rPr>
          <w:rFonts w:eastAsia="Calibri" w:cs="Arial"/>
          <w:b/>
          <w:bCs/>
          <w:sz w:val="26"/>
          <w:szCs w:val="26"/>
        </w:rPr>
      </w:pPr>
      <w:r w:rsidRPr="00643312">
        <w:rPr>
          <w:rFonts w:eastAsia="Calibri" w:cs="Arial"/>
          <w:b/>
          <w:bCs/>
          <w:sz w:val="26"/>
          <w:szCs w:val="26"/>
        </w:rPr>
        <w:t>Response</w:t>
      </w:r>
      <w:r>
        <w:rPr>
          <w:rFonts w:eastAsia="Calibri" w:cs="Arial"/>
          <w:b/>
          <w:bCs/>
          <w:sz w:val="26"/>
          <w:szCs w:val="26"/>
        </w:rPr>
        <w:t>s</w:t>
      </w:r>
      <w:r w:rsidRPr="00643312">
        <w:rPr>
          <w:rFonts w:eastAsia="Calibri" w:cs="Arial"/>
          <w:b/>
          <w:bCs/>
          <w:sz w:val="26"/>
          <w:szCs w:val="26"/>
        </w:rPr>
        <w:t xml:space="preserve"> to </w:t>
      </w:r>
      <w:r>
        <w:rPr>
          <w:rFonts w:eastAsia="Calibri" w:cs="Arial"/>
          <w:b/>
          <w:bCs/>
          <w:sz w:val="26"/>
          <w:szCs w:val="26"/>
        </w:rPr>
        <w:t xml:space="preserve">Second Round </w:t>
      </w:r>
      <w:r w:rsidRPr="00643312">
        <w:rPr>
          <w:rFonts w:eastAsia="Calibri" w:cs="Arial"/>
          <w:b/>
          <w:bCs/>
          <w:sz w:val="26"/>
          <w:szCs w:val="26"/>
        </w:rPr>
        <w:t>Bidder Questions</w:t>
      </w:r>
      <w:r>
        <w:rPr>
          <w:rFonts w:eastAsia="Calibri" w:cs="Arial"/>
          <w:b/>
          <w:bCs/>
          <w:sz w:val="26"/>
          <w:szCs w:val="26"/>
        </w:rPr>
        <w:t xml:space="preserve"> </w:t>
      </w:r>
    </w:p>
    <w:p w14:paraId="325679B8" w14:textId="77777777" w:rsidR="00A038C7" w:rsidRDefault="00A038C7" w:rsidP="00A038C7">
      <w:pPr>
        <w:rPr>
          <w:rFonts w:eastAsia="Calibri" w:cs="Arial"/>
          <w:b/>
          <w:bCs/>
          <w:sz w:val="26"/>
          <w:szCs w:val="26"/>
        </w:rPr>
      </w:pPr>
    </w:p>
    <w:p w14:paraId="3A885F96" w14:textId="77777777" w:rsidR="00A038C7" w:rsidRPr="00643312" w:rsidRDefault="00A038C7" w:rsidP="00A038C7">
      <w:pPr>
        <w:rPr>
          <w:rFonts w:eastAsia="Calibri" w:cs="Arial"/>
          <w:b/>
          <w:bCs/>
          <w:sz w:val="26"/>
          <w:szCs w:val="26"/>
        </w:rPr>
      </w:pPr>
    </w:p>
    <w:p w14:paraId="1CC7CBDF" w14:textId="77777777" w:rsidR="00A038C7" w:rsidRPr="00BF6ED8" w:rsidRDefault="00A038C7" w:rsidP="00A038C7">
      <w:pPr>
        <w:autoSpaceDE w:val="0"/>
        <w:autoSpaceDN w:val="0"/>
        <w:adjustRightInd w:val="0"/>
        <w:spacing w:after="200" w:line="276" w:lineRule="auto"/>
        <w:rPr>
          <w:rFonts w:eastAsia="Calibri" w:cs="Arial"/>
          <w:sz w:val="22"/>
          <w:szCs w:val="22"/>
        </w:rPr>
      </w:pPr>
      <w:bookmarkStart w:id="0" w:name="_Hlk3362932"/>
      <w:r w:rsidRPr="00BF6ED8">
        <w:rPr>
          <w:rFonts w:eastAsia="Calibri" w:cs="Arial"/>
          <w:sz w:val="22"/>
          <w:szCs w:val="22"/>
        </w:rPr>
        <w:t>To All Potential Bidders:</w:t>
      </w:r>
    </w:p>
    <w:p w14:paraId="37E4DD57" w14:textId="77777777" w:rsidR="00A038C7" w:rsidRPr="00BF6ED8" w:rsidRDefault="00A038C7" w:rsidP="00A038C7">
      <w:pPr>
        <w:autoSpaceDE w:val="0"/>
        <w:autoSpaceDN w:val="0"/>
        <w:spacing w:before="60" w:after="200" w:line="276" w:lineRule="auto"/>
        <w:jc w:val="both"/>
        <w:rPr>
          <w:rFonts w:cs="Arial"/>
          <w:sz w:val="22"/>
          <w:szCs w:val="22"/>
        </w:rPr>
      </w:pPr>
      <w:r w:rsidRPr="00BF6ED8">
        <w:rPr>
          <w:rFonts w:cs="Arial"/>
          <w:sz w:val="22"/>
          <w:szCs w:val="22"/>
        </w:rPr>
        <w:t>Attached are the Department’s Responses to Bidder Questions received for the above referenced RFP.</w:t>
      </w:r>
      <w:bookmarkEnd w:id="0"/>
    </w:p>
    <w:p w14:paraId="26E3E796" w14:textId="77777777" w:rsidR="00A038C7" w:rsidRDefault="00A038C7">
      <w:pPr>
        <w:sectPr w:rsidR="00A038C7" w:rsidSect="00A038C7">
          <w:footerReference w:type="default" r:id="rId7"/>
          <w:pgSz w:w="12240" w:h="15840"/>
          <w:pgMar w:top="720" w:right="1440" w:bottom="1440" w:left="1440" w:header="720" w:footer="360" w:gutter="0"/>
          <w:cols w:space="720"/>
          <w:docGrid w:linePitch="360"/>
        </w:sectPr>
      </w:pPr>
    </w:p>
    <w:tbl>
      <w:tblPr>
        <w:tblpPr w:leftFromText="180" w:rightFromText="180" w:vertAnchor="text" w:tblpX="-849" w:tblpY="1"/>
        <w:tblOverlap w:val="never"/>
        <w:tblW w:w="56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1621"/>
        <w:gridCol w:w="901"/>
        <w:gridCol w:w="7109"/>
        <w:gridCol w:w="4588"/>
      </w:tblGrid>
      <w:tr w:rsidR="00A038C7" w:rsidRPr="00BC1DAD" w14:paraId="028DF011" w14:textId="77777777" w:rsidTr="005A2266">
        <w:trPr>
          <w:trHeight w:val="530"/>
          <w:tblHeader/>
        </w:trPr>
        <w:tc>
          <w:tcPr>
            <w:tcW w:w="122" w:type="pct"/>
            <w:vMerge w:val="restart"/>
            <w:shd w:val="pct20" w:color="auto" w:fill="auto"/>
            <w:vAlign w:val="center"/>
          </w:tcPr>
          <w:p w14:paraId="7704FC91" w14:textId="77777777" w:rsidR="00A038C7" w:rsidRPr="00BC1DAD" w:rsidRDefault="00A038C7" w:rsidP="00A038C7">
            <w:pPr>
              <w:spacing w:before="120" w:after="120"/>
              <w:jc w:val="center"/>
              <w:rPr>
                <w:rFonts w:cs="Arial"/>
                <w:b/>
                <w:sz w:val="22"/>
                <w:szCs w:val="22"/>
              </w:rPr>
            </w:pPr>
            <w:r w:rsidRPr="00BC1DAD">
              <w:rPr>
                <w:rFonts w:cs="Arial"/>
                <w:sz w:val="22"/>
                <w:szCs w:val="22"/>
              </w:rPr>
              <w:lastRenderedPageBreak/>
              <w:br w:type="page"/>
            </w:r>
            <w:r w:rsidRPr="00BC1DAD">
              <w:rPr>
                <w:rFonts w:cs="Arial"/>
                <w:b/>
                <w:sz w:val="22"/>
                <w:szCs w:val="22"/>
              </w:rPr>
              <w:t>#</w:t>
            </w:r>
          </w:p>
        </w:tc>
        <w:tc>
          <w:tcPr>
            <w:tcW w:w="865" w:type="pct"/>
            <w:gridSpan w:val="2"/>
            <w:tcBorders>
              <w:bottom w:val="single" w:sz="8" w:space="0" w:color="000000"/>
            </w:tcBorders>
            <w:shd w:val="pct20" w:color="auto" w:fill="auto"/>
            <w:vAlign w:val="center"/>
          </w:tcPr>
          <w:p w14:paraId="155A4934" w14:textId="77777777" w:rsidR="00A038C7" w:rsidRPr="00BC1DAD" w:rsidRDefault="00A038C7" w:rsidP="00A038C7">
            <w:pPr>
              <w:spacing w:before="120" w:after="120"/>
              <w:jc w:val="center"/>
              <w:rPr>
                <w:rFonts w:cs="Arial"/>
                <w:b/>
                <w:sz w:val="22"/>
                <w:szCs w:val="22"/>
              </w:rPr>
            </w:pPr>
            <w:r w:rsidRPr="00BC1DAD">
              <w:rPr>
                <w:rFonts w:cs="Arial"/>
                <w:b/>
                <w:sz w:val="22"/>
                <w:szCs w:val="22"/>
              </w:rPr>
              <w:t>RFP Reference</w:t>
            </w:r>
          </w:p>
        </w:tc>
        <w:tc>
          <w:tcPr>
            <w:tcW w:w="2439" w:type="pct"/>
            <w:vMerge w:val="restart"/>
            <w:shd w:val="pct20" w:color="auto" w:fill="auto"/>
            <w:vAlign w:val="center"/>
          </w:tcPr>
          <w:p w14:paraId="43B7138D" w14:textId="77777777" w:rsidR="00A038C7" w:rsidRPr="00BC1DAD" w:rsidRDefault="00A038C7" w:rsidP="00A038C7">
            <w:pPr>
              <w:spacing w:before="120" w:after="120"/>
              <w:jc w:val="center"/>
              <w:rPr>
                <w:rFonts w:cs="Arial"/>
                <w:b/>
                <w:sz w:val="22"/>
                <w:szCs w:val="22"/>
              </w:rPr>
            </w:pPr>
            <w:r w:rsidRPr="00BC1DAD">
              <w:rPr>
                <w:rFonts w:cs="Arial"/>
                <w:b/>
                <w:sz w:val="22"/>
                <w:szCs w:val="22"/>
              </w:rPr>
              <w:t>Question</w:t>
            </w:r>
          </w:p>
        </w:tc>
        <w:tc>
          <w:tcPr>
            <w:tcW w:w="1574" w:type="pct"/>
            <w:vMerge w:val="restart"/>
            <w:shd w:val="pct20" w:color="auto" w:fill="auto"/>
            <w:vAlign w:val="center"/>
          </w:tcPr>
          <w:p w14:paraId="6175E2E2" w14:textId="77777777" w:rsidR="00A038C7" w:rsidRPr="00997BB9" w:rsidRDefault="00A038C7" w:rsidP="00A038C7">
            <w:pPr>
              <w:spacing w:before="120" w:after="120"/>
              <w:jc w:val="center"/>
              <w:rPr>
                <w:rFonts w:cs="Arial"/>
                <w:b/>
                <w:sz w:val="22"/>
                <w:szCs w:val="22"/>
              </w:rPr>
            </w:pPr>
            <w:r w:rsidRPr="00997BB9">
              <w:rPr>
                <w:rFonts w:cs="Arial"/>
                <w:b/>
                <w:sz w:val="22"/>
                <w:szCs w:val="22"/>
              </w:rPr>
              <w:t>Answer</w:t>
            </w:r>
          </w:p>
        </w:tc>
      </w:tr>
      <w:tr w:rsidR="00A038C7" w:rsidRPr="00BC1DAD" w14:paraId="7F8F451F" w14:textId="77777777" w:rsidTr="005A2266">
        <w:trPr>
          <w:tblHeader/>
        </w:trPr>
        <w:tc>
          <w:tcPr>
            <w:tcW w:w="122" w:type="pct"/>
            <w:vMerge/>
            <w:tcBorders>
              <w:bottom w:val="single" w:sz="8" w:space="0" w:color="000000"/>
            </w:tcBorders>
            <w:shd w:val="pct20" w:color="auto" w:fill="auto"/>
            <w:vAlign w:val="center"/>
          </w:tcPr>
          <w:p w14:paraId="1A3F683C" w14:textId="77777777" w:rsidR="00A038C7" w:rsidRPr="00BC1DAD" w:rsidRDefault="00A038C7" w:rsidP="00A038C7">
            <w:pPr>
              <w:spacing w:before="120" w:after="120"/>
              <w:jc w:val="center"/>
              <w:rPr>
                <w:rFonts w:cs="Arial"/>
                <w:sz w:val="22"/>
                <w:szCs w:val="22"/>
              </w:rPr>
            </w:pPr>
          </w:p>
        </w:tc>
        <w:tc>
          <w:tcPr>
            <w:tcW w:w="556" w:type="pct"/>
            <w:tcBorders>
              <w:bottom w:val="single" w:sz="8" w:space="0" w:color="000000"/>
            </w:tcBorders>
            <w:shd w:val="pct20" w:color="auto" w:fill="auto"/>
            <w:vAlign w:val="center"/>
          </w:tcPr>
          <w:p w14:paraId="0D8E9826" w14:textId="77777777" w:rsidR="00A038C7" w:rsidRPr="00BC1DAD" w:rsidRDefault="00A038C7" w:rsidP="00A038C7">
            <w:pPr>
              <w:spacing w:before="120" w:after="120"/>
              <w:jc w:val="center"/>
              <w:rPr>
                <w:rFonts w:cs="Arial"/>
                <w:b/>
                <w:sz w:val="22"/>
                <w:szCs w:val="22"/>
              </w:rPr>
            </w:pPr>
            <w:r w:rsidRPr="00BC1DAD">
              <w:rPr>
                <w:rFonts w:cs="Arial"/>
                <w:b/>
                <w:sz w:val="22"/>
                <w:szCs w:val="22"/>
              </w:rPr>
              <w:t>Section</w:t>
            </w:r>
          </w:p>
        </w:tc>
        <w:tc>
          <w:tcPr>
            <w:tcW w:w="309" w:type="pct"/>
            <w:tcBorders>
              <w:bottom w:val="single" w:sz="8" w:space="0" w:color="000000"/>
            </w:tcBorders>
            <w:shd w:val="pct20" w:color="auto" w:fill="auto"/>
            <w:vAlign w:val="center"/>
          </w:tcPr>
          <w:p w14:paraId="326FA5D3" w14:textId="77777777" w:rsidR="00A038C7" w:rsidRPr="00EA30D0" w:rsidRDefault="00A038C7" w:rsidP="00A038C7">
            <w:pPr>
              <w:spacing w:before="120" w:after="120"/>
              <w:jc w:val="center"/>
              <w:rPr>
                <w:rFonts w:cs="Arial"/>
                <w:b/>
                <w:sz w:val="20"/>
                <w:szCs w:val="20"/>
              </w:rPr>
            </w:pPr>
            <w:r w:rsidRPr="00EA30D0">
              <w:rPr>
                <w:rFonts w:cs="Arial"/>
                <w:b/>
                <w:sz w:val="20"/>
                <w:szCs w:val="20"/>
              </w:rPr>
              <w:t>Page</w:t>
            </w:r>
          </w:p>
        </w:tc>
        <w:tc>
          <w:tcPr>
            <w:tcW w:w="2439" w:type="pct"/>
            <w:vMerge/>
            <w:tcBorders>
              <w:bottom w:val="single" w:sz="8" w:space="0" w:color="000000"/>
            </w:tcBorders>
            <w:shd w:val="pct20" w:color="auto" w:fill="auto"/>
            <w:vAlign w:val="center"/>
          </w:tcPr>
          <w:p w14:paraId="00395617" w14:textId="77777777" w:rsidR="00A038C7" w:rsidRPr="00BC1DAD" w:rsidRDefault="00A038C7" w:rsidP="00A038C7">
            <w:pPr>
              <w:spacing w:before="120" w:after="120"/>
              <w:jc w:val="center"/>
              <w:rPr>
                <w:rFonts w:cs="Arial"/>
                <w:b/>
                <w:sz w:val="22"/>
                <w:szCs w:val="22"/>
              </w:rPr>
            </w:pPr>
          </w:p>
        </w:tc>
        <w:tc>
          <w:tcPr>
            <w:tcW w:w="1574" w:type="pct"/>
            <w:vMerge/>
            <w:tcBorders>
              <w:bottom w:val="single" w:sz="8" w:space="0" w:color="000000"/>
            </w:tcBorders>
            <w:shd w:val="pct20" w:color="auto" w:fill="auto"/>
            <w:vAlign w:val="center"/>
          </w:tcPr>
          <w:p w14:paraId="32A859F1" w14:textId="77777777" w:rsidR="00A038C7" w:rsidRPr="00997BB9" w:rsidRDefault="00A038C7" w:rsidP="00A038C7">
            <w:pPr>
              <w:spacing w:before="120" w:after="120"/>
              <w:jc w:val="center"/>
              <w:rPr>
                <w:rFonts w:cs="Arial"/>
                <w:b/>
                <w:sz w:val="22"/>
                <w:szCs w:val="22"/>
              </w:rPr>
            </w:pPr>
          </w:p>
        </w:tc>
      </w:tr>
      <w:tr w:rsidR="00A038C7" w:rsidRPr="00BC1DAD" w14:paraId="0968C0C9" w14:textId="77777777" w:rsidTr="005A2266">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365BA4EF" w14:textId="77777777" w:rsidR="00A038C7" w:rsidRPr="00BC1DAD" w:rsidRDefault="00A038C7" w:rsidP="00A038C7">
            <w:pPr>
              <w:spacing w:before="120" w:after="120"/>
              <w:jc w:val="center"/>
              <w:rPr>
                <w:rFonts w:cs="Arial"/>
                <w:sz w:val="22"/>
                <w:szCs w:val="22"/>
              </w:rPr>
            </w:pPr>
            <w:r w:rsidRPr="00BC1DAD">
              <w:rPr>
                <w:rFonts w:cs="Arial"/>
                <w:sz w:val="22"/>
                <w:szCs w:val="22"/>
              </w:rPr>
              <w:t>1</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AFD2D5" w14:textId="77777777" w:rsidR="00A038C7" w:rsidRDefault="00A038C7" w:rsidP="00A038C7">
            <w:pPr>
              <w:spacing w:before="120" w:after="120"/>
              <w:rPr>
                <w:rFonts w:cs="Arial"/>
                <w:sz w:val="20"/>
                <w:szCs w:val="20"/>
              </w:rPr>
            </w:pPr>
            <w:r w:rsidRPr="003E1292">
              <w:rPr>
                <w:rFonts w:cs="Arial"/>
                <w:sz w:val="20"/>
                <w:szCs w:val="20"/>
              </w:rPr>
              <w:t xml:space="preserve">Section 2.1. </w:t>
            </w:r>
          </w:p>
          <w:p w14:paraId="74D3233D" w14:textId="690D70DE" w:rsidR="00A038C7" w:rsidRPr="003E1292" w:rsidRDefault="00A038C7" w:rsidP="00A038C7">
            <w:pPr>
              <w:spacing w:before="120" w:after="120"/>
              <w:rPr>
                <w:rFonts w:cs="Arial"/>
                <w:sz w:val="20"/>
                <w:szCs w:val="20"/>
              </w:rPr>
            </w:pPr>
            <w:r w:rsidRPr="003E1292">
              <w:rPr>
                <w:rFonts w:cs="Arial"/>
                <w:sz w:val="20"/>
                <w:szCs w:val="20"/>
              </w:rPr>
              <w:t>Description of Stamps</w:t>
            </w:r>
          </w:p>
          <w:p w14:paraId="62FBC0C3" w14:textId="77777777" w:rsidR="00A038C7" w:rsidRPr="003E1292" w:rsidRDefault="00A038C7" w:rsidP="00A038C7">
            <w:pPr>
              <w:spacing w:before="120" w:after="120"/>
              <w:rPr>
                <w:rFonts w:cs="Arial"/>
                <w:sz w:val="20"/>
                <w:szCs w:val="20"/>
              </w:rPr>
            </w:pPr>
          </w:p>
          <w:p w14:paraId="6F1EDE5D" w14:textId="77777777" w:rsidR="00A038C7" w:rsidRPr="003E1292" w:rsidRDefault="00A038C7" w:rsidP="00A038C7">
            <w:pPr>
              <w:spacing w:before="120" w:after="120"/>
              <w:rPr>
                <w:rFonts w:cs="Arial"/>
                <w:sz w:val="20"/>
                <w:szCs w:val="20"/>
              </w:rPr>
            </w:pPr>
            <w:r w:rsidRPr="003E1292">
              <w:rPr>
                <w:rFonts w:cs="Arial"/>
                <w:sz w:val="20"/>
                <w:szCs w:val="20"/>
              </w:rPr>
              <w:t>Section 4.1.</w:t>
            </w:r>
          </w:p>
          <w:p w14:paraId="0E459AB6" w14:textId="77777777" w:rsidR="00A038C7" w:rsidRPr="00BC1DAD" w:rsidRDefault="00A038C7" w:rsidP="00A038C7">
            <w:pPr>
              <w:spacing w:before="120" w:after="120"/>
              <w:rPr>
                <w:rFonts w:cs="Arial"/>
                <w:sz w:val="20"/>
                <w:szCs w:val="20"/>
              </w:rPr>
            </w:pPr>
            <w:r w:rsidRPr="003E1292">
              <w:rPr>
                <w:rFonts w:cs="Arial"/>
                <w:sz w:val="20"/>
                <w:szCs w:val="20"/>
              </w:rPr>
              <w:t>Heat-Applied Stamps</w:t>
            </w:r>
          </w:p>
        </w:tc>
        <w:tc>
          <w:tcPr>
            <w:tcW w:w="30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4CF496" w14:textId="77777777" w:rsidR="00A038C7" w:rsidRDefault="00A038C7" w:rsidP="00A038C7">
            <w:pPr>
              <w:spacing w:before="120" w:after="120"/>
              <w:jc w:val="center"/>
              <w:rPr>
                <w:rFonts w:cs="Arial"/>
                <w:sz w:val="20"/>
                <w:szCs w:val="20"/>
              </w:rPr>
            </w:pPr>
            <w:r>
              <w:rPr>
                <w:rFonts w:cs="Arial"/>
                <w:sz w:val="20"/>
                <w:szCs w:val="20"/>
              </w:rPr>
              <w:t>13</w:t>
            </w:r>
          </w:p>
          <w:p w14:paraId="664FE85F" w14:textId="2CC06C13" w:rsidR="00A038C7" w:rsidRDefault="00A038C7" w:rsidP="00A038C7">
            <w:pPr>
              <w:spacing w:before="120" w:after="120"/>
              <w:jc w:val="center"/>
              <w:rPr>
                <w:rFonts w:cs="Arial"/>
                <w:sz w:val="20"/>
                <w:szCs w:val="20"/>
              </w:rPr>
            </w:pPr>
          </w:p>
          <w:p w14:paraId="08A9FCC3" w14:textId="77777777" w:rsidR="004C3995" w:rsidRDefault="004C3995" w:rsidP="004C3995">
            <w:pPr>
              <w:spacing w:before="360"/>
              <w:rPr>
                <w:rFonts w:cs="Arial"/>
                <w:sz w:val="20"/>
                <w:szCs w:val="20"/>
              </w:rPr>
            </w:pPr>
          </w:p>
          <w:p w14:paraId="64CA2DE6" w14:textId="6F514077" w:rsidR="00A038C7" w:rsidRPr="00BC1DAD" w:rsidRDefault="004C3995" w:rsidP="00A038C7">
            <w:pPr>
              <w:spacing w:before="120" w:after="120"/>
              <w:jc w:val="center"/>
              <w:rPr>
                <w:rFonts w:cs="Arial"/>
                <w:sz w:val="22"/>
                <w:szCs w:val="22"/>
              </w:rPr>
            </w:pPr>
            <w:r>
              <w:rPr>
                <w:rFonts w:cs="Arial"/>
                <w:sz w:val="20"/>
                <w:szCs w:val="20"/>
              </w:rPr>
              <w:t xml:space="preserve">18 - </w:t>
            </w:r>
            <w:r w:rsidR="00A038C7">
              <w:rPr>
                <w:rFonts w:cs="Arial"/>
                <w:sz w:val="20"/>
                <w:szCs w:val="20"/>
              </w:rPr>
              <w:t>19</w:t>
            </w:r>
          </w:p>
        </w:tc>
        <w:tc>
          <w:tcPr>
            <w:tcW w:w="24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4FC212" w14:textId="77777777" w:rsidR="00A038C7" w:rsidRPr="003E1292" w:rsidRDefault="00A038C7" w:rsidP="00A038C7">
            <w:pPr>
              <w:spacing w:before="120" w:after="120"/>
              <w:rPr>
                <w:rFonts w:cs="Arial"/>
                <w:sz w:val="20"/>
                <w:szCs w:val="20"/>
              </w:rPr>
            </w:pPr>
            <w:r w:rsidRPr="003E1292">
              <w:rPr>
                <w:rFonts w:cs="Arial"/>
                <w:sz w:val="20"/>
                <w:szCs w:val="20"/>
              </w:rPr>
              <w:t>In the previous Q&amp;A period and Amendment 1,  the State removed the chemical reagent security feature from its solicitation.</w:t>
            </w:r>
          </w:p>
          <w:p w14:paraId="7DD50D7E" w14:textId="77777777" w:rsidR="00A038C7" w:rsidRPr="003E1292" w:rsidRDefault="00A038C7" w:rsidP="00A038C7">
            <w:pPr>
              <w:spacing w:before="120" w:after="120"/>
              <w:rPr>
                <w:rFonts w:cs="Arial"/>
                <w:sz w:val="20"/>
                <w:szCs w:val="20"/>
              </w:rPr>
            </w:pPr>
            <w:r w:rsidRPr="003E1292">
              <w:rPr>
                <w:rFonts w:cs="Arial"/>
                <w:sz w:val="20"/>
                <w:szCs w:val="20"/>
              </w:rPr>
              <w:t>Removing this proven security feature introduces unnecessary risks to the NY tax program. During the current contract period, NY detectives, field auditors and investigators were trained to authenticate stamps using this highly effective feature with indisputable results.</w:t>
            </w:r>
          </w:p>
          <w:p w14:paraId="71739C9F" w14:textId="77777777" w:rsidR="00A038C7" w:rsidRPr="003E1292" w:rsidRDefault="00A038C7" w:rsidP="00A038C7">
            <w:pPr>
              <w:spacing w:before="120" w:after="120"/>
              <w:rPr>
                <w:rFonts w:cs="Arial"/>
                <w:sz w:val="20"/>
                <w:szCs w:val="20"/>
              </w:rPr>
            </w:pPr>
            <w:r w:rsidRPr="003E1292">
              <w:rPr>
                <w:rFonts w:cs="Arial"/>
                <w:sz w:val="20"/>
                <w:szCs w:val="20"/>
              </w:rPr>
              <w:t>Throughout the current contract, this security feature was successfully used to authenticate NY tax stamps and even to authenticate stamps on packs smuggled in from other states to avoid the high tax rate in NY.  We do not recommend lowering the current security standards currently in place.</w:t>
            </w:r>
          </w:p>
          <w:p w14:paraId="7B4C77B8" w14:textId="77777777" w:rsidR="00A038C7" w:rsidRPr="00BC1DAD" w:rsidRDefault="00A038C7" w:rsidP="00A038C7">
            <w:pPr>
              <w:spacing w:before="120" w:after="120"/>
              <w:rPr>
                <w:rFonts w:cs="Arial"/>
                <w:sz w:val="22"/>
                <w:szCs w:val="22"/>
              </w:rPr>
            </w:pPr>
            <w:r w:rsidRPr="003E1292">
              <w:rPr>
                <w:rFonts w:cs="Arial"/>
                <w:sz w:val="20"/>
                <w:szCs w:val="20"/>
              </w:rPr>
              <w:t>Will the State please reinstate the requirement for a chemical reagent for NY tax stamps and allow vendors to propose their own chemical reagent security feature?</w:t>
            </w:r>
          </w:p>
        </w:tc>
        <w:tc>
          <w:tcPr>
            <w:tcW w:w="15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1B77B9" w14:textId="69DA4EDC" w:rsidR="00D135F7" w:rsidRDefault="003A41AF" w:rsidP="00A038C7">
            <w:pPr>
              <w:spacing w:before="120" w:after="120"/>
              <w:rPr>
                <w:rFonts w:cs="Arial"/>
                <w:b/>
                <w:sz w:val="20"/>
                <w:szCs w:val="20"/>
              </w:rPr>
            </w:pPr>
            <w:r w:rsidRPr="005A2266">
              <w:rPr>
                <w:rFonts w:cs="Arial"/>
                <w:b/>
                <w:bCs/>
                <w:color w:val="002060"/>
                <w:sz w:val="20"/>
                <w:szCs w:val="20"/>
              </w:rPr>
              <w:t xml:space="preserve">The Department/City </w:t>
            </w:r>
            <w:r w:rsidR="00D135F7" w:rsidRPr="005A2266">
              <w:rPr>
                <w:rFonts w:cs="Arial"/>
                <w:b/>
                <w:bCs/>
                <w:color w:val="002060"/>
                <w:sz w:val="20"/>
                <w:szCs w:val="20"/>
              </w:rPr>
              <w:t>declines to</w:t>
            </w:r>
            <w:r w:rsidRPr="005A2266">
              <w:rPr>
                <w:rFonts w:cs="Arial"/>
                <w:b/>
                <w:bCs/>
                <w:color w:val="002060"/>
                <w:sz w:val="20"/>
                <w:szCs w:val="20"/>
              </w:rPr>
              <w:t xml:space="preserve"> require</w:t>
            </w:r>
            <w:r w:rsidR="0010300E">
              <w:rPr>
                <w:rFonts w:cs="Arial"/>
                <w:b/>
                <w:bCs/>
                <w:color w:val="002060"/>
                <w:sz w:val="20"/>
                <w:szCs w:val="20"/>
              </w:rPr>
              <w:t xml:space="preserve"> </w:t>
            </w:r>
            <w:r w:rsidRPr="005A2266">
              <w:rPr>
                <w:rFonts w:cs="Arial"/>
                <w:b/>
                <w:bCs/>
                <w:color w:val="002060"/>
                <w:sz w:val="20"/>
                <w:szCs w:val="20"/>
              </w:rPr>
              <w:t>chemical reagent.</w:t>
            </w:r>
            <w:r w:rsidR="00D135F7" w:rsidRPr="005A2266">
              <w:rPr>
                <w:rFonts w:cs="Arial"/>
                <w:b/>
                <w:bCs/>
                <w:color w:val="002060"/>
                <w:sz w:val="20"/>
                <w:szCs w:val="20"/>
              </w:rPr>
              <w:t xml:space="preserve"> However, there is no </w:t>
            </w:r>
            <w:r w:rsidR="00240947">
              <w:rPr>
                <w:rFonts w:cs="Arial"/>
                <w:b/>
                <w:bCs/>
                <w:color w:val="002060"/>
                <w:sz w:val="20"/>
                <w:szCs w:val="20"/>
              </w:rPr>
              <w:t>impediment</w:t>
            </w:r>
            <w:r w:rsidR="00240947" w:rsidRPr="005A2266">
              <w:rPr>
                <w:rFonts w:cs="Arial"/>
                <w:b/>
                <w:bCs/>
                <w:color w:val="002060"/>
                <w:sz w:val="20"/>
                <w:szCs w:val="20"/>
              </w:rPr>
              <w:t xml:space="preserve"> </w:t>
            </w:r>
            <w:r w:rsidR="00D135F7" w:rsidRPr="005A2266">
              <w:rPr>
                <w:rFonts w:cs="Arial"/>
                <w:b/>
                <w:bCs/>
                <w:color w:val="002060"/>
                <w:sz w:val="20"/>
                <w:szCs w:val="20"/>
              </w:rPr>
              <w:t xml:space="preserve">to a chemical reagent feature being included in the proposed </w:t>
            </w:r>
            <w:r w:rsidR="005A2266">
              <w:rPr>
                <w:rFonts w:cs="Arial"/>
                <w:b/>
                <w:bCs/>
                <w:color w:val="002060"/>
                <w:sz w:val="20"/>
                <w:szCs w:val="20"/>
              </w:rPr>
              <w:t>S</w:t>
            </w:r>
            <w:r w:rsidR="00D135F7" w:rsidRPr="005A2266">
              <w:rPr>
                <w:rFonts w:cs="Arial"/>
                <w:b/>
                <w:bCs/>
                <w:color w:val="002060"/>
                <w:sz w:val="20"/>
                <w:szCs w:val="20"/>
              </w:rPr>
              <w:t xml:space="preserve">tamp if </w:t>
            </w:r>
            <w:r w:rsidR="0010300E">
              <w:rPr>
                <w:rFonts w:cs="Arial"/>
                <w:b/>
                <w:bCs/>
                <w:color w:val="002060"/>
                <w:sz w:val="20"/>
                <w:szCs w:val="20"/>
              </w:rPr>
              <w:t>a</w:t>
            </w:r>
            <w:r w:rsidR="0010300E" w:rsidRPr="005A2266">
              <w:rPr>
                <w:rFonts w:cs="Arial"/>
                <w:b/>
                <w:bCs/>
                <w:color w:val="002060"/>
                <w:sz w:val="20"/>
                <w:szCs w:val="20"/>
              </w:rPr>
              <w:t xml:space="preserve"> </w:t>
            </w:r>
            <w:r w:rsidR="005A2266">
              <w:rPr>
                <w:rFonts w:cs="Arial"/>
                <w:b/>
                <w:bCs/>
                <w:color w:val="002060"/>
                <w:sz w:val="20"/>
                <w:szCs w:val="20"/>
              </w:rPr>
              <w:t>B</w:t>
            </w:r>
            <w:r w:rsidR="00D135F7" w:rsidRPr="005A2266">
              <w:rPr>
                <w:rFonts w:cs="Arial"/>
                <w:b/>
                <w:bCs/>
                <w:color w:val="002060"/>
                <w:sz w:val="20"/>
                <w:szCs w:val="20"/>
              </w:rPr>
              <w:t xml:space="preserve">idder elects to </w:t>
            </w:r>
            <w:r w:rsidR="00240947">
              <w:rPr>
                <w:rFonts w:cs="Arial"/>
                <w:b/>
                <w:bCs/>
                <w:color w:val="002060"/>
                <w:sz w:val="20"/>
                <w:szCs w:val="20"/>
              </w:rPr>
              <w:t>include it</w:t>
            </w:r>
            <w:r w:rsidR="00D135F7" w:rsidRPr="005A2266">
              <w:rPr>
                <w:rFonts w:cs="Arial"/>
                <w:b/>
                <w:bCs/>
                <w:color w:val="002060"/>
                <w:sz w:val="20"/>
                <w:szCs w:val="20"/>
              </w:rPr>
              <w:t xml:space="preserve">. </w:t>
            </w:r>
            <w:r w:rsidRPr="005A2266">
              <w:rPr>
                <w:rFonts w:cs="Arial"/>
                <w:b/>
                <w:bCs/>
                <w:color w:val="002060"/>
                <w:sz w:val="20"/>
                <w:szCs w:val="20"/>
              </w:rPr>
              <w:t xml:space="preserve"> </w:t>
            </w:r>
          </w:p>
          <w:p w14:paraId="3F99C6B4" w14:textId="73E5E822" w:rsidR="00D135F7" w:rsidRPr="00997BB9" w:rsidRDefault="00D135F7" w:rsidP="00B43BCF">
            <w:pPr>
              <w:spacing w:before="120" w:after="120"/>
              <w:rPr>
                <w:rFonts w:cs="Arial"/>
                <w:b/>
                <w:bCs/>
                <w:sz w:val="22"/>
                <w:szCs w:val="22"/>
              </w:rPr>
            </w:pPr>
          </w:p>
        </w:tc>
      </w:tr>
      <w:tr w:rsidR="00A038C7" w:rsidRPr="00BC1DAD" w14:paraId="1A096067" w14:textId="77777777" w:rsidTr="005A2266">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12B886E2" w14:textId="77777777" w:rsidR="00A038C7" w:rsidRPr="00BC1DAD" w:rsidRDefault="00A038C7" w:rsidP="00A038C7">
            <w:pPr>
              <w:spacing w:before="120" w:after="120"/>
              <w:jc w:val="center"/>
              <w:rPr>
                <w:rFonts w:cs="Arial"/>
                <w:sz w:val="22"/>
                <w:szCs w:val="22"/>
              </w:rPr>
            </w:pPr>
            <w:r w:rsidRPr="00BC1DAD">
              <w:rPr>
                <w:rFonts w:cs="Arial"/>
                <w:sz w:val="22"/>
                <w:szCs w:val="22"/>
              </w:rPr>
              <w:t>2</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1B57DB" w14:textId="77777777" w:rsidR="00A038C7" w:rsidRPr="003E1292" w:rsidRDefault="00A038C7" w:rsidP="00A038C7">
            <w:pPr>
              <w:spacing w:before="120" w:after="120"/>
              <w:rPr>
                <w:rFonts w:cs="Arial"/>
                <w:color w:val="000000" w:themeColor="text1"/>
                <w:sz w:val="20"/>
                <w:szCs w:val="20"/>
                <w:lang w:eastAsia="fr-CH"/>
              </w:rPr>
            </w:pPr>
            <w:r w:rsidRPr="003E1292">
              <w:rPr>
                <w:rFonts w:cs="Arial"/>
                <w:color w:val="000000" w:themeColor="text1"/>
                <w:sz w:val="20"/>
                <w:szCs w:val="20"/>
                <w:lang w:eastAsia="fr-CH"/>
              </w:rPr>
              <w:t>Section 4.4.</w:t>
            </w:r>
          </w:p>
          <w:p w14:paraId="260DC826" w14:textId="77777777" w:rsidR="00A038C7" w:rsidRDefault="00A038C7" w:rsidP="00556C56">
            <w:pPr>
              <w:spacing w:before="120" w:after="240"/>
              <w:rPr>
                <w:rFonts w:cs="Arial"/>
                <w:color w:val="000000" w:themeColor="text1"/>
                <w:sz w:val="20"/>
                <w:szCs w:val="20"/>
                <w:lang w:eastAsia="fr-CH"/>
              </w:rPr>
            </w:pPr>
            <w:r w:rsidRPr="003E1292">
              <w:rPr>
                <w:rFonts w:cs="Arial"/>
                <w:color w:val="000000" w:themeColor="text1"/>
                <w:sz w:val="20"/>
                <w:szCs w:val="20"/>
                <w:lang w:eastAsia="fr-CH"/>
              </w:rPr>
              <w:t>Paper Stock</w:t>
            </w:r>
          </w:p>
          <w:p w14:paraId="50063889" w14:textId="291B6AC8" w:rsidR="00556C56" w:rsidRPr="00BC1DAD" w:rsidRDefault="00556C56" w:rsidP="00A038C7">
            <w:pPr>
              <w:spacing w:before="120" w:after="120"/>
              <w:rPr>
                <w:rFonts w:cs="Arial"/>
                <w:sz w:val="20"/>
                <w:szCs w:val="20"/>
              </w:rPr>
            </w:pPr>
            <w:r w:rsidRPr="003248C2">
              <w:rPr>
                <w:rFonts w:cs="Arial"/>
                <w:i/>
                <w:iCs/>
                <w:sz w:val="20"/>
                <w:szCs w:val="20"/>
              </w:rPr>
              <w:t>(Amended to Section 4.4. Reserved)</w:t>
            </w:r>
          </w:p>
        </w:tc>
        <w:tc>
          <w:tcPr>
            <w:tcW w:w="30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B3C0A8" w14:textId="77777777" w:rsidR="00A038C7" w:rsidRPr="00BC1DAD" w:rsidRDefault="00A038C7" w:rsidP="00A038C7">
            <w:pPr>
              <w:spacing w:before="120" w:after="120"/>
              <w:jc w:val="center"/>
              <w:rPr>
                <w:rFonts w:cs="Arial"/>
                <w:sz w:val="22"/>
                <w:szCs w:val="22"/>
              </w:rPr>
            </w:pPr>
            <w:r>
              <w:rPr>
                <w:rFonts w:cs="Arial"/>
                <w:color w:val="000000" w:themeColor="text1"/>
                <w:sz w:val="20"/>
                <w:szCs w:val="20"/>
                <w:lang w:eastAsia="fr-CH"/>
              </w:rPr>
              <w:t>20</w:t>
            </w:r>
          </w:p>
        </w:tc>
        <w:tc>
          <w:tcPr>
            <w:tcW w:w="24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F29B30" w14:textId="77777777" w:rsidR="00A038C7" w:rsidRPr="003E1292" w:rsidRDefault="00A038C7" w:rsidP="00A038C7">
            <w:pPr>
              <w:spacing w:before="120" w:after="120"/>
              <w:rPr>
                <w:rFonts w:cs="Arial"/>
                <w:color w:val="000000" w:themeColor="text1"/>
                <w:sz w:val="20"/>
                <w:szCs w:val="20"/>
                <w:lang w:val="en-GB" w:eastAsia="fr-CH"/>
              </w:rPr>
            </w:pPr>
            <w:r w:rsidRPr="003E1292">
              <w:rPr>
                <w:rFonts w:cs="Arial"/>
                <w:color w:val="000000" w:themeColor="text1"/>
                <w:sz w:val="20"/>
                <w:szCs w:val="20"/>
                <w:lang w:val="en-GB" w:eastAsia="fr-CH"/>
              </w:rPr>
              <w:t>Paper is a major deterrent for counterfeit activities. The security paper and the security features applied to it make it, nearly impossible for bad actors to successfully counterfeit NY tax stamps. At first glance, the paper can be visually validated due to its unique appearance.  Upon a single touch, the paper can be validated by the feel and weight of the paper. The paper is the carrier for some security features, those features are visible within the voids between stamps making the stamp easily validated by the naked eye.</w:t>
            </w:r>
          </w:p>
          <w:p w14:paraId="39385615" w14:textId="77777777" w:rsidR="00A038C7" w:rsidRPr="003E1292" w:rsidRDefault="00A038C7" w:rsidP="00A038C7">
            <w:pPr>
              <w:spacing w:before="120" w:after="120"/>
              <w:rPr>
                <w:rFonts w:cs="Arial"/>
                <w:color w:val="000000" w:themeColor="text1"/>
                <w:sz w:val="20"/>
                <w:szCs w:val="20"/>
                <w:lang w:val="en-GB" w:eastAsia="fr-CH"/>
              </w:rPr>
            </w:pPr>
            <w:r w:rsidRPr="003E1292">
              <w:rPr>
                <w:rFonts w:cs="Arial"/>
                <w:color w:val="000000" w:themeColor="text1"/>
                <w:sz w:val="20"/>
                <w:szCs w:val="20"/>
                <w:lang w:val="en-GB" w:eastAsia="fr-CH"/>
              </w:rPr>
              <w:t>Inferior paper does not contain the strength or weight to hold its shape during stamping and can often halt production for torn or misaligned paper.  The state introduces risk with paper that has not be tested or evaluated by the State. Authorized distributors are trained to apply its tax stamps rapidly and efficiently. If the state elects to use a less secure, less reliable paper its vendors may encounter unexpected production delays.</w:t>
            </w:r>
          </w:p>
          <w:p w14:paraId="3712945D" w14:textId="076AF573" w:rsidR="00A038C7" w:rsidRPr="005A2266" w:rsidRDefault="00A038C7" w:rsidP="005A2266">
            <w:pPr>
              <w:spacing w:before="120" w:after="120"/>
              <w:rPr>
                <w:rFonts w:cs="Arial"/>
                <w:color w:val="000000" w:themeColor="text1"/>
                <w:sz w:val="20"/>
                <w:szCs w:val="20"/>
                <w:lang w:val="en-GB" w:eastAsia="fr-CH"/>
              </w:rPr>
            </w:pPr>
            <w:r w:rsidRPr="003E1292">
              <w:rPr>
                <w:rFonts w:cs="Arial"/>
                <w:color w:val="000000" w:themeColor="text1"/>
                <w:sz w:val="20"/>
                <w:szCs w:val="20"/>
                <w:lang w:val="en-GB" w:eastAsia="fr-CH"/>
              </w:rPr>
              <w:t>The current paper in use for the NY stamp program is designed to be unusable after application, this additional security feature ensure that any discarded paper cannot be reproduced even if stolen from a waste container.</w:t>
            </w:r>
          </w:p>
          <w:p w14:paraId="7EA1EBA1" w14:textId="2D56F619" w:rsidR="00A038C7" w:rsidRPr="005A2266" w:rsidRDefault="00A038C7" w:rsidP="00A038C7">
            <w:pPr>
              <w:spacing w:before="120" w:after="120"/>
              <w:rPr>
                <w:rFonts w:cs="Arial"/>
                <w:color w:val="000000" w:themeColor="text1"/>
                <w:sz w:val="20"/>
                <w:szCs w:val="20"/>
                <w:lang w:val="en-GB" w:eastAsia="fr-CH"/>
              </w:rPr>
            </w:pPr>
            <w:r w:rsidRPr="003E1292">
              <w:rPr>
                <w:rFonts w:cs="Arial"/>
                <w:color w:val="000000" w:themeColor="text1"/>
                <w:sz w:val="20"/>
                <w:szCs w:val="20"/>
                <w:lang w:val="en-GB" w:eastAsia="fr-CH"/>
              </w:rPr>
              <w:t>Would the State reconsider its decision to remove paper as evaluated criteria for this solicitation response?</w:t>
            </w:r>
          </w:p>
        </w:tc>
        <w:tc>
          <w:tcPr>
            <w:tcW w:w="15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544B04" w14:textId="0C8C76C0" w:rsidR="00240947" w:rsidRDefault="003A41AF" w:rsidP="00A038C7">
            <w:pPr>
              <w:spacing w:before="120" w:after="120"/>
              <w:rPr>
                <w:rFonts w:cs="Arial"/>
                <w:color w:val="000000" w:themeColor="text1"/>
                <w:sz w:val="22"/>
                <w:szCs w:val="22"/>
                <w:lang w:val="en-GB" w:eastAsia="fr-CH"/>
              </w:rPr>
            </w:pPr>
            <w:r w:rsidRPr="005A2266">
              <w:rPr>
                <w:rFonts w:cs="Arial"/>
                <w:b/>
                <w:bCs/>
                <w:color w:val="002060"/>
                <w:sz w:val="20"/>
                <w:szCs w:val="20"/>
              </w:rPr>
              <w:t xml:space="preserve">The Department/City </w:t>
            </w:r>
            <w:r w:rsidR="00D135F7" w:rsidRPr="005A2266">
              <w:rPr>
                <w:rFonts w:cs="Arial"/>
                <w:b/>
                <w:bCs/>
                <w:color w:val="002060"/>
                <w:sz w:val="20"/>
                <w:szCs w:val="20"/>
              </w:rPr>
              <w:t>declines to</w:t>
            </w:r>
            <w:r w:rsidRPr="005A2266">
              <w:rPr>
                <w:rFonts w:cs="Arial"/>
                <w:b/>
                <w:bCs/>
                <w:color w:val="002060"/>
                <w:sz w:val="20"/>
                <w:szCs w:val="20"/>
              </w:rPr>
              <w:t xml:space="preserve"> re</w:t>
            </w:r>
            <w:r w:rsidR="00EB7E42">
              <w:rPr>
                <w:rFonts w:cs="Arial"/>
                <w:b/>
                <w:bCs/>
                <w:color w:val="002060"/>
                <w:sz w:val="20"/>
                <w:szCs w:val="20"/>
              </w:rPr>
              <w:t>quire distinctive security paper</w:t>
            </w:r>
            <w:r w:rsidRPr="005A2266">
              <w:rPr>
                <w:rFonts w:cs="Arial"/>
                <w:b/>
                <w:bCs/>
                <w:color w:val="002060"/>
                <w:sz w:val="20"/>
                <w:szCs w:val="20"/>
              </w:rPr>
              <w:t>.</w:t>
            </w:r>
            <w:r w:rsidR="00DC24FC" w:rsidRPr="005A2266">
              <w:rPr>
                <w:rFonts w:cs="Arial"/>
                <w:b/>
                <w:bCs/>
                <w:color w:val="002060"/>
                <w:sz w:val="20"/>
                <w:szCs w:val="20"/>
              </w:rPr>
              <w:t xml:space="preserve"> Bidders should propose </w:t>
            </w:r>
            <w:r w:rsidR="005A2266">
              <w:rPr>
                <w:rFonts w:cs="Arial"/>
                <w:b/>
                <w:bCs/>
                <w:color w:val="002060"/>
                <w:sz w:val="20"/>
                <w:szCs w:val="20"/>
              </w:rPr>
              <w:t>S</w:t>
            </w:r>
            <w:r w:rsidR="00DC24FC" w:rsidRPr="005A2266">
              <w:rPr>
                <w:rFonts w:cs="Arial"/>
                <w:b/>
                <w:bCs/>
                <w:color w:val="002060"/>
                <w:sz w:val="20"/>
                <w:szCs w:val="20"/>
              </w:rPr>
              <w:t xml:space="preserve">tamps on paper </w:t>
            </w:r>
            <w:r w:rsidR="00240947">
              <w:rPr>
                <w:rFonts w:cs="Arial"/>
                <w:b/>
                <w:bCs/>
                <w:color w:val="002060"/>
                <w:sz w:val="20"/>
                <w:szCs w:val="20"/>
              </w:rPr>
              <w:t>having</w:t>
            </w:r>
            <w:r w:rsidR="00240947" w:rsidRPr="005A2266">
              <w:rPr>
                <w:rFonts w:cs="Arial"/>
                <w:b/>
                <w:bCs/>
                <w:color w:val="002060"/>
                <w:sz w:val="20"/>
                <w:szCs w:val="20"/>
              </w:rPr>
              <w:t xml:space="preserve"> </w:t>
            </w:r>
            <w:r w:rsidR="00DC24FC" w:rsidRPr="005A2266">
              <w:rPr>
                <w:rFonts w:cs="Arial"/>
                <w:b/>
                <w:bCs/>
                <w:color w:val="002060"/>
                <w:sz w:val="20"/>
                <w:szCs w:val="20"/>
              </w:rPr>
              <w:t xml:space="preserve">sufficient </w:t>
            </w:r>
            <w:r w:rsidR="00EB7E42">
              <w:rPr>
                <w:rFonts w:cs="Arial"/>
                <w:b/>
                <w:bCs/>
                <w:color w:val="002060"/>
                <w:sz w:val="20"/>
                <w:szCs w:val="20"/>
              </w:rPr>
              <w:t xml:space="preserve">weight, </w:t>
            </w:r>
            <w:r w:rsidR="00DC24FC" w:rsidRPr="005A2266">
              <w:rPr>
                <w:rFonts w:cs="Arial"/>
                <w:b/>
                <w:bCs/>
                <w:color w:val="002060"/>
                <w:sz w:val="20"/>
                <w:szCs w:val="20"/>
              </w:rPr>
              <w:t xml:space="preserve">strength and </w:t>
            </w:r>
            <w:r w:rsidR="00EB7E42">
              <w:rPr>
                <w:rFonts w:cs="Arial"/>
                <w:b/>
                <w:bCs/>
                <w:color w:val="002060"/>
                <w:sz w:val="20"/>
                <w:szCs w:val="20"/>
              </w:rPr>
              <w:t>durability</w:t>
            </w:r>
            <w:r w:rsidR="00EB7E42" w:rsidRPr="005A2266">
              <w:rPr>
                <w:rFonts w:cs="Arial"/>
                <w:b/>
                <w:bCs/>
                <w:color w:val="002060"/>
                <w:sz w:val="20"/>
                <w:szCs w:val="20"/>
              </w:rPr>
              <w:t xml:space="preserve"> </w:t>
            </w:r>
            <w:r w:rsidR="00DC24FC" w:rsidRPr="005A2266">
              <w:rPr>
                <w:rFonts w:cs="Arial"/>
                <w:b/>
                <w:bCs/>
                <w:color w:val="002060"/>
                <w:sz w:val="20"/>
                <w:szCs w:val="20"/>
              </w:rPr>
              <w:t xml:space="preserve">to </w:t>
            </w:r>
            <w:r w:rsidR="00240947">
              <w:rPr>
                <w:rFonts w:cs="Arial"/>
                <w:b/>
                <w:bCs/>
                <w:color w:val="002060"/>
                <w:sz w:val="20"/>
                <w:szCs w:val="20"/>
              </w:rPr>
              <w:t>retain</w:t>
            </w:r>
            <w:r w:rsidR="00240947" w:rsidRPr="005A2266">
              <w:rPr>
                <w:rFonts w:cs="Arial"/>
                <w:b/>
                <w:bCs/>
                <w:color w:val="002060"/>
                <w:sz w:val="20"/>
                <w:szCs w:val="20"/>
              </w:rPr>
              <w:t xml:space="preserve"> </w:t>
            </w:r>
            <w:r w:rsidR="00DC24FC" w:rsidRPr="005A2266">
              <w:rPr>
                <w:rFonts w:cs="Arial"/>
                <w:b/>
                <w:bCs/>
                <w:color w:val="002060"/>
                <w:sz w:val="20"/>
                <w:szCs w:val="20"/>
              </w:rPr>
              <w:t>its shape</w:t>
            </w:r>
            <w:r w:rsidR="00EB7E42">
              <w:rPr>
                <w:rFonts w:cs="Arial"/>
                <w:b/>
                <w:bCs/>
                <w:color w:val="002060"/>
                <w:sz w:val="20"/>
                <w:szCs w:val="20"/>
              </w:rPr>
              <w:t>, accommodate the required transfer percentage,</w:t>
            </w:r>
            <w:r w:rsidR="00DC24FC" w:rsidRPr="005A2266">
              <w:rPr>
                <w:rFonts w:cs="Arial"/>
                <w:b/>
                <w:bCs/>
                <w:color w:val="002060"/>
                <w:sz w:val="20"/>
                <w:szCs w:val="20"/>
              </w:rPr>
              <w:t xml:space="preserve"> and not cause misalignment during production.</w:t>
            </w:r>
            <w:r w:rsidR="00DC24FC">
              <w:rPr>
                <w:rFonts w:cs="Arial"/>
                <w:color w:val="000000" w:themeColor="text1"/>
                <w:sz w:val="20"/>
                <w:szCs w:val="20"/>
                <w:lang w:val="en-GB" w:eastAsia="fr-CH"/>
              </w:rPr>
              <w:t xml:space="preserve"> </w:t>
            </w:r>
          </w:p>
          <w:p w14:paraId="45B70A0D" w14:textId="14F022DF" w:rsidR="00240947" w:rsidRPr="00997BB9" w:rsidRDefault="00240947" w:rsidP="00A038C7">
            <w:pPr>
              <w:spacing w:before="120" w:after="120"/>
              <w:rPr>
                <w:rFonts w:cs="Arial"/>
                <w:b/>
                <w:bCs/>
                <w:sz w:val="22"/>
                <w:szCs w:val="22"/>
              </w:rPr>
            </w:pPr>
          </w:p>
        </w:tc>
      </w:tr>
    </w:tbl>
    <w:p w14:paraId="314B9C81" w14:textId="77777777" w:rsidR="001E5F34" w:rsidRDefault="001E5F34" w:rsidP="00A038C7"/>
    <w:sectPr w:rsidR="001E5F34" w:rsidSect="00A038C7">
      <w:headerReference w:type="default" r:id="rId8"/>
      <w:footerReference w:type="default" r:id="rId9"/>
      <w:pgSz w:w="15840" w:h="12240" w:orient="landscape"/>
      <w:pgMar w:top="144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0CCC" w14:textId="77777777" w:rsidR="00AC7BC9" w:rsidRDefault="00AC7BC9" w:rsidP="00A038C7">
      <w:r>
        <w:separator/>
      </w:r>
    </w:p>
  </w:endnote>
  <w:endnote w:type="continuationSeparator" w:id="0">
    <w:p w14:paraId="3F779CAD" w14:textId="77777777" w:rsidR="00AC7BC9" w:rsidRDefault="00AC7BC9" w:rsidP="00A0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Rg">
    <w:altName w:val="Candara"/>
    <w:panose1 w:val="00000000000000000000"/>
    <w:charset w:val="00"/>
    <w:family w:val="modern"/>
    <w:notTrueType/>
    <w:pitch w:val="variable"/>
    <w:sig w:usb0="00000001" w:usb1="5000E0F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4F46F8C6" w14:textId="77777777" w:rsidR="00A038C7" w:rsidRPr="00A038C7" w:rsidRDefault="00A038C7" w:rsidP="00A038C7">
            <w:pPr>
              <w:spacing w:before="200"/>
              <w:jc w:val="right"/>
            </w:pPr>
          </w:p>
          <w:tbl>
            <w:tblPr>
              <w:tblStyle w:val="TableGrid"/>
              <w:tblW w:w="10890" w:type="dxa"/>
              <w:tblInd w:w="-635" w:type="dxa"/>
              <w:tblLook w:val="04A0" w:firstRow="1" w:lastRow="0" w:firstColumn="1" w:lastColumn="0" w:noHBand="0" w:noVBand="1"/>
            </w:tblPr>
            <w:tblGrid>
              <w:gridCol w:w="10890"/>
            </w:tblGrid>
            <w:tr w:rsidR="00A038C7" w:rsidRPr="00A038C7" w14:paraId="757BDC9D" w14:textId="77777777" w:rsidTr="00A038C7">
              <w:tc>
                <w:tcPr>
                  <w:tcW w:w="10890" w:type="dxa"/>
                  <w:tcBorders>
                    <w:top w:val="single" w:sz="2" w:space="0" w:color="A6A6A6"/>
                    <w:left w:val="single" w:sz="4" w:space="0" w:color="FFFFFF"/>
                    <w:bottom w:val="single" w:sz="4" w:space="0" w:color="FFFFFF"/>
                    <w:right w:val="single" w:sz="4" w:space="0" w:color="FFFFFF"/>
                  </w:tcBorders>
                </w:tcPr>
                <w:p w14:paraId="70C29FDD" w14:textId="77777777" w:rsidR="00A038C7" w:rsidRPr="00A038C7" w:rsidRDefault="00A038C7" w:rsidP="00A038C7">
                  <w:pPr>
                    <w:tabs>
                      <w:tab w:val="center" w:pos="4680"/>
                      <w:tab w:val="right" w:pos="9360"/>
                    </w:tabs>
                    <w:spacing w:before="120"/>
                    <w:jc w:val="center"/>
                    <w:rPr>
                      <w:rFonts w:ascii="Proxima Nova Rg" w:hAnsi="Proxima Nova Rg"/>
                      <w:bCs w:val="0"/>
                      <w:color w:val="646569"/>
                      <w:sz w:val="16"/>
                      <w:szCs w:val="16"/>
                    </w:rPr>
                  </w:pPr>
                  <w:r w:rsidRPr="00A038C7">
                    <w:rPr>
                      <w:rFonts w:ascii="Proxima Nova Rg" w:hAnsi="Proxima Nova Rg"/>
                      <w:bCs w:val="0"/>
                      <w:color w:val="646569"/>
                      <w:sz w:val="16"/>
                      <w:szCs w:val="16"/>
                    </w:rPr>
                    <w:t xml:space="preserve">W A Harriman Campus Albany NY 12227 </w:t>
                  </w:r>
                  <w:r w:rsidRPr="00A038C7">
                    <w:rPr>
                      <w:rFonts w:ascii="Courier New" w:hAnsi="Courier New" w:cs="Courier New"/>
                      <w:bCs w:val="0"/>
                      <w:color w:val="646569"/>
                      <w:sz w:val="16"/>
                      <w:szCs w:val="16"/>
                    </w:rPr>
                    <w:t xml:space="preserve">│ </w:t>
                  </w:r>
                  <w:r w:rsidRPr="00A038C7">
                    <w:rPr>
                      <w:rFonts w:ascii="Proxima Nova Rg" w:hAnsi="Proxima Nova Rg"/>
                      <w:bCs w:val="0"/>
                      <w:color w:val="646569"/>
                      <w:sz w:val="16"/>
                      <w:szCs w:val="16"/>
                    </w:rPr>
                    <w:t xml:space="preserve">(518) 530-4484 </w:t>
                  </w:r>
                  <w:r w:rsidRPr="00A038C7">
                    <w:rPr>
                      <w:rFonts w:ascii="Courier New" w:hAnsi="Courier New" w:cs="Courier New"/>
                      <w:bCs w:val="0"/>
                      <w:color w:val="646569"/>
                      <w:sz w:val="16"/>
                      <w:szCs w:val="16"/>
                    </w:rPr>
                    <w:t xml:space="preserve">│ </w:t>
                  </w:r>
                  <w:r w:rsidRPr="00A038C7">
                    <w:rPr>
                      <w:rFonts w:ascii="Proxima Nova Rg" w:hAnsi="Proxima Nova Rg"/>
                      <w:bCs w:val="0"/>
                      <w:color w:val="646569"/>
                      <w:sz w:val="16"/>
                      <w:szCs w:val="16"/>
                    </w:rPr>
                    <w:t>www.tax.ny.gov</w:t>
                  </w:r>
                </w:p>
              </w:tc>
            </w:tr>
          </w:tbl>
          <w:p w14:paraId="44A23B47" w14:textId="1FBCB364" w:rsidR="00A038C7" w:rsidRDefault="004E181D" w:rsidP="00A038C7"/>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026577"/>
      <w:docPartObj>
        <w:docPartGallery w:val="Page Numbers (Top of Page)"/>
        <w:docPartUnique/>
      </w:docPartObj>
    </w:sdtPr>
    <w:sdtEndPr/>
    <w:sdtContent>
      <w:p w14:paraId="7CBB4B8E" w14:textId="70B22CA2" w:rsidR="00A038C7" w:rsidRPr="00A038C7" w:rsidRDefault="00A038C7" w:rsidP="00A038C7">
        <w:pPr>
          <w:pStyle w:val="Footer"/>
          <w:ind w:right="-810"/>
          <w:jc w:val="right"/>
        </w:pPr>
        <w:r w:rsidRPr="00A038C7">
          <w:rPr>
            <w:rFonts w:cs="Arial"/>
            <w:color w:val="A6A6A6"/>
          </w:rPr>
          <w:t xml:space="preserve">RFP 23-101 Cigarette Tax Stamps Manufacturing Solution| </w:t>
        </w:r>
        <w:sdt>
          <w:sdtPr>
            <w:id w:val="742992783"/>
            <w:docPartObj>
              <w:docPartGallery w:val="Page Numbers (Bottom of Page)"/>
              <w:docPartUnique/>
            </w:docPartObj>
          </w:sdtPr>
          <w:sdtEndPr/>
          <w:sdtContent>
            <w:sdt>
              <w:sdtPr>
                <w:id w:val="1777052517"/>
                <w:docPartObj>
                  <w:docPartGallery w:val="Page Numbers (Top of Page)"/>
                  <w:docPartUnique/>
                </w:docPartObj>
              </w:sdtPr>
              <w:sdtEndPr/>
              <w:sdtContent>
                <w:r w:rsidRPr="00A038C7">
                  <w:t xml:space="preserve">Page </w:t>
                </w:r>
                <w:r w:rsidRPr="00A038C7">
                  <w:rPr>
                    <w:b/>
                    <w:bCs/>
                  </w:rPr>
                  <w:fldChar w:fldCharType="begin"/>
                </w:r>
                <w:r w:rsidRPr="00A038C7">
                  <w:rPr>
                    <w:b/>
                    <w:bCs/>
                  </w:rPr>
                  <w:instrText xml:space="preserve"> PAGE </w:instrText>
                </w:r>
                <w:r w:rsidRPr="00A038C7">
                  <w:rPr>
                    <w:b/>
                    <w:bCs/>
                  </w:rPr>
                  <w:fldChar w:fldCharType="separate"/>
                </w:r>
                <w:r w:rsidRPr="00A038C7">
                  <w:rPr>
                    <w:b/>
                    <w:bCs/>
                  </w:rPr>
                  <w:t>1</w:t>
                </w:r>
                <w:r w:rsidRPr="00A038C7">
                  <w:rPr>
                    <w:b/>
                    <w:bCs/>
                  </w:rPr>
                  <w:fldChar w:fldCharType="end"/>
                </w:r>
              </w:sdtContent>
            </w:sdt>
          </w:sdtContent>
        </w:sdt>
      </w:p>
      <w:p w14:paraId="7AADBFD7" w14:textId="5A7E8217" w:rsidR="00A038C7" w:rsidRDefault="00A038C7" w:rsidP="00A038C7">
        <w:pPr>
          <w:ind w:right="-810"/>
          <w:jc w:val="right"/>
        </w:pPr>
        <w:r w:rsidRPr="00A038C7">
          <w:rPr>
            <w:b/>
            <w:bCs/>
          </w:rPr>
          <w:t>Questions and Answers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E7FB" w14:textId="77777777" w:rsidR="00AC7BC9" w:rsidRDefault="00AC7BC9" w:rsidP="00A038C7">
      <w:r>
        <w:separator/>
      </w:r>
    </w:p>
  </w:footnote>
  <w:footnote w:type="continuationSeparator" w:id="0">
    <w:p w14:paraId="0F42D78C" w14:textId="77777777" w:rsidR="00AC7BC9" w:rsidRDefault="00AC7BC9" w:rsidP="00A0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B00D" w14:textId="77777777" w:rsidR="00A038C7" w:rsidRPr="00A038C7" w:rsidRDefault="00A038C7" w:rsidP="00A038C7">
    <w:pPr>
      <w:tabs>
        <w:tab w:val="center" w:pos="4680"/>
        <w:tab w:val="right" w:pos="9360"/>
      </w:tabs>
      <w:jc w:val="center"/>
      <w:rPr>
        <w:rFonts w:cs="Arial"/>
        <w:sz w:val="22"/>
        <w:szCs w:val="22"/>
      </w:rPr>
    </w:pPr>
    <w:bookmarkStart w:id="1" w:name="_Hlk129349164"/>
    <w:bookmarkStart w:id="2" w:name="_Hlk129349165"/>
    <w:bookmarkStart w:id="3" w:name="_Hlk129349167"/>
    <w:bookmarkStart w:id="4" w:name="_Hlk129349168"/>
    <w:bookmarkStart w:id="5" w:name="_Hlk129349169"/>
    <w:bookmarkStart w:id="6" w:name="_Hlk129349170"/>
    <w:bookmarkStart w:id="7" w:name="_Hlk129181462"/>
    <w:bookmarkStart w:id="8" w:name="_Hlk129181463"/>
    <w:bookmarkStart w:id="9" w:name="_Hlk129181464"/>
    <w:bookmarkStart w:id="10" w:name="_Hlk129181465"/>
    <w:bookmarkStart w:id="11" w:name="_Hlk129181466"/>
    <w:bookmarkStart w:id="12" w:name="_Hlk129181467"/>
    <w:bookmarkStart w:id="13" w:name="_Hlk129246081"/>
    <w:bookmarkStart w:id="14" w:name="_Hlk129246082"/>
    <w:bookmarkStart w:id="15" w:name="_Hlk129246083"/>
    <w:bookmarkStart w:id="16" w:name="_Hlk129246084"/>
    <w:bookmarkStart w:id="17" w:name="_Hlk129246085"/>
    <w:bookmarkStart w:id="18" w:name="_Hlk129246086"/>
    <w:bookmarkStart w:id="19" w:name="_Hlk130372239"/>
    <w:bookmarkStart w:id="20" w:name="_Hlk130372240"/>
    <w:bookmarkStart w:id="21" w:name="_Hlk130372241"/>
    <w:bookmarkStart w:id="22" w:name="_Hlk130372242"/>
    <w:bookmarkStart w:id="23" w:name="_Hlk130372243"/>
    <w:bookmarkStart w:id="24" w:name="_Hlk130372244"/>
    <w:bookmarkStart w:id="25" w:name="_Hlk130372245"/>
    <w:bookmarkStart w:id="26" w:name="_Hlk130372246"/>
    <w:r w:rsidRPr="00A038C7">
      <w:rPr>
        <w:rFonts w:cs="Arial"/>
        <w:sz w:val="22"/>
        <w:szCs w:val="22"/>
      </w:rPr>
      <w:t>New York State Department of Taxation and Finance</w:t>
    </w:r>
  </w:p>
  <w:p w14:paraId="3E56CF98" w14:textId="77777777" w:rsidR="00A038C7" w:rsidRPr="00A038C7" w:rsidRDefault="00A038C7" w:rsidP="00A038C7">
    <w:pPr>
      <w:tabs>
        <w:tab w:val="center" w:pos="4680"/>
        <w:tab w:val="right" w:pos="9360"/>
      </w:tabs>
      <w:jc w:val="center"/>
      <w:rPr>
        <w:rFonts w:cs="Arial"/>
        <w:sz w:val="22"/>
        <w:szCs w:val="22"/>
      </w:rPr>
    </w:pPr>
    <w:r w:rsidRPr="00A038C7">
      <w:rPr>
        <w:rFonts w:cs="Arial"/>
        <w:sz w:val="22"/>
        <w:szCs w:val="22"/>
      </w:rPr>
      <w:t>Request for Proposals (RFP) 23-101</w:t>
    </w:r>
  </w:p>
  <w:p w14:paraId="2366D123" w14:textId="77777777" w:rsidR="00A038C7" w:rsidRPr="00A038C7" w:rsidRDefault="00A038C7" w:rsidP="00A038C7">
    <w:pPr>
      <w:tabs>
        <w:tab w:val="center" w:pos="4680"/>
        <w:tab w:val="right" w:pos="9360"/>
      </w:tabs>
      <w:jc w:val="center"/>
      <w:rPr>
        <w:rFonts w:cs="Arial"/>
        <w:sz w:val="22"/>
        <w:szCs w:val="22"/>
      </w:rPr>
    </w:pPr>
    <w:r w:rsidRPr="00A038C7">
      <w:rPr>
        <w:rFonts w:cs="Arial"/>
        <w:sz w:val="22"/>
        <w:szCs w:val="22"/>
      </w:rPr>
      <w:t>Cigarette Tax Stamps Manufacturing Solution</w:t>
    </w:r>
  </w:p>
  <w:p w14:paraId="3A71FA2A" w14:textId="77777777" w:rsidR="00A038C7" w:rsidRPr="00A038C7" w:rsidRDefault="00A038C7" w:rsidP="00A038C7">
    <w:pPr>
      <w:widowControl w:val="0"/>
      <w:pBdr>
        <w:bottom w:val="single" w:sz="4" w:space="0" w:color="auto"/>
      </w:pBdr>
      <w:tabs>
        <w:tab w:val="left" w:pos="630"/>
        <w:tab w:val="left" w:pos="4680"/>
        <w:tab w:val="left" w:pos="8820"/>
      </w:tabs>
      <w:autoSpaceDE w:val="0"/>
      <w:autoSpaceDN w:val="0"/>
      <w:ind w:left="450" w:right="720"/>
      <w:rPr>
        <w:rFonts w:eastAsia="Arial" w:cs="Arial"/>
        <w:sz w:val="12"/>
        <w:szCs w:val="12"/>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E13A23C" w14:textId="77777777" w:rsidR="00A038C7" w:rsidRDefault="00A038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C7"/>
    <w:rsid w:val="000F6F7A"/>
    <w:rsid w:val="0010300E"/>
    <w:rsid w:val="001E5F34"/>
    <w:rsid w:val="00240947"/>
    <w:rsid w:val="00347C59"/>
    <w:rsid w:val="003744F5"/>
    <w:rsid w:val="003A41AF"/>
    <w:rsid w:val="00437CBA"/>
    <w:rsid w:val="004C3995"/>
    <w:rsid w:val="00556C56"/>
    <w:rsid w:val="005A2266"/>
    <w:rsid w:val="006A2F58"/>
    <w:rsid w:val="007908CD"/>
    <w:rsid w:val="007E7067"/>
    <w:rsid w:val="00A038C7"/>
    <w:rsid w:val="00A55DD6"/>
    <w:rsid w:val="00AC7BC9"/>
    <w:rsid w:val="00AF4A3F"/>
    <w:rsid w:val="00B37E6E"/>
    <w:rsid w:val="00B43BCF"/>
    <w:rsid w:val="00D135F7"/>
    <w:rsid w:val="00DC24FC"/>
    <w:rsid w:val="00DD2E1A"/>
    <w:rsid w:val="00EB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3FAFF"/>
  <w15:chartTrackingRefBased/>
  <w15:docId w15:val="{6572FF76-A558-4EF9-88A8-536F94DF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C7"/>
    <w:pPr>
      <w:spacing w:line="240" w:lineRule="auto"/>
    </w:pPr>
    <w:rPr>
      <w:rFonts w:eastAsia="Times New Roman" w:cs="Times New Roman"/>
      <w:bCs w:val="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38C7"/>
    <w:pPr>
      <w:spacing w:line="240" w:lineRule="auto"/>
    </w:pPr>
    <w:rPr>
      <w:rFonts w:asciiTheme="minorHAnsi" w:hAnsiTheme="minorHAnsi" w:cstheme="minorBidi"/>
      <w:bCs w:val="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lt Header,title"/>
    <w:basedOn w:val="Normal"/>
    <w:link w:val="HeaderChar"/>
    <w:uiPriority w:val="99"/>
    <w:unhideWhenUsed/>
    <w:rsid w:val="00A038C7"/>
    <w:pPr>
      <w:tabs>
        <w:tab w:val="center" w:pos="4680"/>
        <w:tab w:val="right" w:pos="9360"/>
      </w:tabs>
    </w:pPr>
  </w:style>
  <w:style w:type="character" w:customStyle="1" w:styleId="HeaderChar">
    <w:name w:val="Header Char"/>
    <w:aliases w:val="Alt Header Char,title Char"/>
    <w:basedOn w:val="DefaultParagraphFont"/>
    <w:link w:val="Header"/>
    <w:uiPriority w:val="99"/>
    <w:rsid w:val="00A038C7"/>
    <w:rPr>
      <w:rFonts w:eastAsia="Times New Roman" w:cs="Times New Roman"/>
      <w:bCs w:val="0"/>
      <w:kern w:val="0"/>
      <w:sz w:val="24"/>
      <w:szCs w:val="24"/>
      <w14:ligatures w14:val="none"/>
    </w:rPr>
  </w:style>
  <w:style w:type="paragraph" w:styleId="Footer">
    <w:name w:val="footer"/>
    <w:basedOn w:val="Normal"/>
    <w:link w:val="FooterChar"/>
    <w:uiPriority w:val="99"/>
    <w:unhideWhenUsed/>
    <w:rsid w:val="00A038C7"/>
    <w:pPr>
      <w:tabs>
        <w:tab w:val="center" w:pos="4680"/>
        <w:tab w:val="right" w:pos="9360"/>
      </w:tabs>
    </w:pPr>
  </w:style>
  <w:style w:type="character" w:customStyle="1" w:styleId="FooterChar">
    <w:name w:val="Footer Char"/>
    <w:basedOn w:val="DefaultParagraphFont"/>
    <w:link w:val="Footer"/>
    <w:uiPriority w:val="99"/>
    <w:rsid w:val="00A038C7"/>
    <w:rPr>
      <w:rFonts w:eastAsia="Times New Roman" w:cs="Times New Roman"/>
      <w:bCs w:val="0"/>
      <w:kern w:val="0"/>
      <w:sz w:val="24"/>
      <w:szCs w:val="24"/>
      <w14:ligatures w14:val="none"/>
    </w:rPr>
  </w:style>
  <w:style w:type="paragraph" w:styleId="Revision">
    <w:name w:val="Revision"/>
    <w:hidden/>
    <w:uiPriority w:val="99"/>
    <w:semiHidden/>
    <w:rsid w:val="00B37E6E"/>
    <w:pPr>
      <w:spacing w:line="240" w:lineRule="auto"/>
    </w:pPr>
    <w:rPr>
      <w:rFonts w:eastAsia="Times New Roman" w:cs="Times New Roman"/>
      <w:bCs w:val="0"/>
      <w:kern w:val="0"/>
      <w:sz w:val="24"/>
      <w:szCs w:val="24"/>
      <w14:ligatures w14:val="none"/>
    </w:rPr>
  </w:style>
  <w:style w:type="character" w:styleId="CommentReference">
    <w:name w:val="annotation reference"/>
    <w:basedOn w:val="DefaultParagraphFont"/>
    <w:uiPriority w:val="99"/>
    <w:semiHidden/>
    <w:unhideWhenUsed/>
    <w:rsid w:val="00437CBA"/>
    <w:rPr>
      <w:sz w:val="16"/>
      <w:szCs w:val="16"/>
    </w:rPr>
  </w:style>
  <w:style w:type="paragraph" w:styleId="CommentText">
    <w:name w:val="annotation text"/>
    <w:basedOn w:val="Normal"/>
    <w:link w:val="CommentTextChar"/>
    <w:uiPriority w:val="99"/>
    <w:unhideWhenUsed/>
    <w:rsid w:val="00437CBA"/>
    <w:rPr>
      <w:sz w:val="20"/>
      <w:szCs w:val="20"/>
    </w:rPr>
  </w:style>
  <w:style w:type="character" w:customStyle="1" w:styleId="CommentTextChar">
    <w:name w:val="Comment Text Char"/>
    <w:basedOn w:val="DefaultParagraphFont"/>
    <w:link w:val="CommentText"/>
    <w:uiPriority w:val="99"/>
    <w:rsid w:val="00437CBA"/>
    <w:rPr>
      <w:rFonts w:eastAsia="Times New Roman" w:cs="Times New Roman"/>
      <w:bCs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7CBA"/>
    <w:rPr>
      <w:b/>
      <w:bCs/>
    </w:rPr>
  </w:style>
  <w:style w:type="character" w:customStyle="1" w:styleId="CommentSubjectChar">
    <w:name w:val="Comment Subject Char"/>
    <w:basedOn w:val="CommentTextChar"/>
    <w:link w:val="CommentSubject"/>
    <w:uiPriority w:val="99"/>
    <w:semiHidden/>
    <w:rsid w:val="00437CBA"/>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DTF</dc:creator>
  <cp:keywords/>
  <dc:description/>
  <cp:lastModifiedBy>Brownell, Kevin (TAX)</cp:lastModifiedBy>
  <cp:revision>7</cp:revision>
  <dcterms:created xsi:type="dcterms:W3CDTF">2024-03-18T20:40:00Z</dcterms:created>
  <dcterms:modified xsi:type="dcterms:W3CDTF">2024-03-26T12:31:00Z</dcterms:modified>
</cp:coreProperties>
</file>