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EA61" w14:textId="77777777" w:rsidR="0076327D" w:rsidRDefault="0076327D" w:rsidP="0076327D">
      <w:pPr>
        <w:spacing w:before="40" w:after="40"/>
        <w:jc w:val="center"/>
        <w:rPr>
          <w:b/>
          <w:bCs/>
        </w:rPr>
      </w:pPr>
      <w:r>
        <w:rPr>
          <w:noProof/>
        </w:rPr>
        <w:drawing>
          <wp:inline distT="0" distB="0" distL="0" distR="0" wp14:anchorId="4B8017F8" wp14:editId="0C246A07">
            <wp:extent cx="4636008" cy="804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6008" cy="804672"/>
                    </a:xfrm>
                    <a:prstGeom prst="rect">
                      <a:avLst/>
                    </a:prstGeom>
                  </pic:spPr>
                </pic:pic>
              </a:graphicData>
            </a:graphic>
          </wp:inline>
        </w:drawing>
      </w:r>
    </w:p>
    <w:p w14:paraId="576E22B2" w14:textId="77777777" w:rsidR="0076327D" w:rsidRDefault="0076327D" w:rsidP="0076327D">
      <w:pPr>
        <w:spacing w:before="40" w:after="40"/>
        <w:jc w:val="center"/>
        <w:rPr>
          <w:b/>
          <w:bCs/>
        </w:rPr>
      </w:pPr>
    </w:p>
    <w:p w14:paraId="2B960825" w14:textId="77777777" w:rsidR="0076327D" w:rsidRDefault="0076327D" w:rsidP="0076327D">
      <w:pPr>
        <w:spacing w:before="40" w:after="40"/>
        <w:jc w:val="center"/>
        <w:rPr>
          <w:b/>
          <w:bCs/>
        </w:rPr>
      </w:pPr>
    </w:p>
    <w:p w14:paraId="650B8B8F" w14:textId="77777777" w:rsidR="0076327D" w:rsidRPr="00B82816" w:rsidRDefault="0076327D" w:rsidP="0076327D">
      <w:pPr>
        <w:spacing w:after="0"/>
        <w:jc w:val="center"/>
        <w:rPr>
          <w:b/>
          <w:sz w:val="28"/>
          <w:szCs w:val="28"/>
        </w:rPr>
      </w:pPr>
      <w:bookmarkStart w:id="0" w:name="_Hlk139547471"/>
      <w:r w:rsidRPr="00B82816">
        <w:rPr>
          <w:b/>
          <w:sz w:val="28"/>
          <w:szCs w:val="28"/>
        </w:rPr>
        <w:t>July 12, 2023</w:t>
      </w:r>
    </w:p>
    <w:p w14:paraId="06F5E656" w14:textId="77777777" w:rsidR="0076327D" w:rsidRPr="00B82816" w:rsidRDefault="0076327D" w:rsidP="0076327D">
      <w:pPr>
        <w:spacing w:after="0"/>
        <w:jc w:val="center"/>
        <w:rPr>
          <w:b/>
          <w:sz w:val="28"/>
          <w:szCs w:val="28"/>
        </w:rPr>
      </w:pPr>
    </w:p>
    <w:p w14:paraId="22922E9C" w14:textId="77777777" w:rsidR="0076327D" w:rsidRPr="00B82816" w:rsidRDefault="0076327D" w:rsidP="0076327D">
      <w:pPr>
        <w:spacing w:after="0"/>
        <w:jc w:val="center"/>
        <w:rPr>
          <w:rFonts w:eastAsia="Calibri"/>
          <w:b/>
          <w:bCs/>
          <w:sz w:val="28"/>
          <w:szCs w:val="28"/>
        </w:rPr>
      </w:pPr>
      <w:r w:rsidRPr="00B82816">
        <w:rPr>
          <w:rFonts w:eastAsia="Calibri"/>
          <w:b/>
          <w:bCs/>
          <w:sz w:val="28"/>
          <w:szCs w:val="28"/>
        </w:rPr>
        <w:t xml:space="preserve">Request for Proposals (RFP) 23-100 </w:t>
      </w:r>
    </w:p>
    <w:p w14:paraId="5D12E771" w14:textId="77777777" w:rsidR="0076327D" w:rsidRPr="00B82816" w:rsidRDefault="0076327D" w:rsidP="0076327D">
      <w:pPr>
        <w:pStyle w:val="Header"/>
        <w:jc w:val="center"/>
        <w:rPr>
          <w:b/>
          <w:bCs/>
          <w:sz w:val="28"/>
          <w:szCs w:val="28"/>
        </w:rPr>
      </w:pPr>
      <w:r w:rsidRPr="00B82816">
        <w:rPr>
          <w:b/>
          <w:bCs/>
          <w:sz w:val="28"/>
          <w:szCs w:val="28"/>
        </w:rPr>
        <w:t xml:space="preserve">Program Administration and Investment Management Services for the </w:t>
      </w:r>
    </w:p>
    <w:p w14:paraId="3945D2E9" w14:textId="77777777" w:rsidR="0076327D" w:rsidRPr="00B82816" w:rsidRDefault="0076327D" w:rsidP="0076327D">
      <w:pPr>
        <w:pStyle w:val="Header"/>
        <w:jc w:val="center"/>
        <w:rPr>
          <w:b/>
          <w:bCs/>
          <w:sz w:val="28"/>
          <w:szCs w:val="28"/>
        </w:rPr>
      </w:pPr>
      <w:r w:rsidRPr="00B82816">
        <w:rPr>
          <w:b/>
          <w:bCs/>
          <w:sz w:val="28"/>
          <w:szCs w:val="28"/>
        </w:rPr>
        <w:t>New York State Secure Choice Savings Program</w:t>
      </w:r>
    </w:p>
    <w:p w14:paraId="46B90DF5" w14:textId="77777777" w:rsidR="0076327D" w:rsidRPr="00B82816" w:rsidRDefault="0076327D" w:rsidP="0076327D">
      <w:pPr>
        <w:pStyle w:val="Header"/>
        <w:jc w:val="center"/>
        <w:rPr>
          <w:sz w:val="28"/>
          <w:szCs w:val="28"/>
        </w:rPr>
      </w:pPr>
    </w:p>
    <w:p w14:paraId="44595DA0" w14:textId="69444B2F" w:rsidR="0076327D" w:rsidRPr="00B82816" w:rsidRDefault="0076327D" w:rsidP="0076327D">
      <w:pPr>
        <w:jc w:val="center"/>
        <w:rPr>
          <w:rFonts w:eastAsia="Calibri"/>
          <w:b/>
          <w:bCs/>
          <w:sz w:val="28"/>
          <w:szCs w:val="28"/>
        </w:rPr>
      </w:pPr>
      <w:r w:rsidRPr="00B82816">
        <w:rPr>
          <w:rFonts w:eastAsia="Calibri"/>
          <w:b/>
          <w:bCs/>
          <w:sz w:val="28"/>
          <w:szCs w:val="28"/>
        </w:rPr>
        <w:t xml:space="preserve">Response to Bidder Questions and Amendment </w:t>
      </w:r>
      <w:r w:rsidR="00BE08E0">
        <w:rPr>
          <w:rFonts w:eastAsia="Calibri"/>
          <w:b/>
          <w:bCs/>
          <w:sz w:val="28"/>
          <w:szCs w:val="28"/>
        </w:rPr>
        <w:t>#</w:t>
      </w:r>
      <w:r w:rsidRPr="00B82816">
        <w:rPr>
          <w:rFonts w:eastAsia="Calibri"/>
          <w:b/>
          <w:bCs/>
          <w:sz w:val="28"/>
          <w:szCs w:val="28"/>
        </w:rPr>
        <w:t>1</w:t>
      </w:r>
    </w:p>
    <w:p w14:paraId="33699300" w14:textId="77777777" w:rsidR="0076327D" w:rsidRPr="00B82816" w:rsidRDefault="0076327D" w:rsidP="0076327D">
      <w:pPr>
        <w:jc w:val="center"/>
        <w:rPr>
          <w:rFonts w:eastAsia="Calibri"/>
          <w:b/>
          <w:bCs/>
          <w:sz w:val="26"/>
          <w:szCs w:val="26"/>
        </w:rPr>
      </w:pPr>
    </w:p>
    <w:p w14:paraId="7439329A" w14:textId="08D9EA2A" w:rsidR="0076327D" w:rsidRDefault="0076327D" w:rsidP="0076327D">
      <w:pPr>
        <w:autoSpaceDE w:val="0"/>
        <w:autoSpaceDN w:val="0"/>
        <w:adjustRightInd w:val="0"/>
        <w:jc w:val="both"/>
        <w:rPr>
          <w:rFonts w:eastAsia="Calibri"/>
        </w:rPr>
      </w:pPr>
      <w:bookmarkStart w:id="1" w:name="_Hlk3362932"/>
      <w:r w:rsidRPr="00B82816">
        <w:rPr>
          <w:rFonts w:eastAsia="Calibri"/>
        </w:rPr>
        <w:t>To All Potential Bidders:</w:t>
      </w:r>
    </w:p>
    <w:p w14:paraId="51572259" w14:textId="5CF15F75" w:rsidR="0076327D" w:rsidRDefault="0076327D" w:rsidP="0076327D">
      <w:pPr>
        <w:autoSpaceDE w:val="0"/>
        <w:autoSpaceDN w:val="0"/>
        <w:spacing w:before="60"/>
        <w:jc w:val="both"/>
      </w:pPr>
      <w:r w:rsidRPr="00B82816">
        <w:t>Attached are the Board’s Responses to Bidder Questions received for the above referenced RFP.</w:t>
      </w:r>
    </w:p>
    <w:p w14:paraId="7777B7A3" w14:textId="320AF420" w:rsidR="004D2DDA" w:rsidRDefault="004D2DDA" w:rsidP="004D2DDA">
      <w:pPr>
        <w:autoSpaceDE w:val="0"/>
        <w:autoSpaceDN w:val="0"/>
        <w:spacing w:before="60" w:after="60"/>
        <w:jc w:val="both"/>
      </w:pPr>
      <w:r w:rsidRPr="00B82816">
        <w:t xml:space="preserve">Additionally, the Board is issuing Amendment </w:t>
      </w:r>
      <w:r w:rsidR="00BE08E0">
        <w:t>#</w:t>
      </w:r>
      <w:r w:rsidRPr="00B82816">
        <w:t>1 as clarification to amend</w:t>
      </w:r>
      <w:r>
        <w:t>:</w:t>
      </w:r>
    </w:p>
    <w:p w14:paraId="46CCDADB" w14:textId="77777777" w:rsidR="004D2DDA" w:rsidRPr="009E6CF4" w:rsidRDefault="004D2DDA" w:rsidP="004D2DDA">
      <w:pPr>
        <w:spacing w:before="200" w:after="60" w:line="276" w:lineRule="auto"/>
        <w:ind w:left="720"/>
        <w:jc w:val="both"/>
        <w:rPr>
          <w:b/>
          <w:bCs/>
          <w:u w:val="single"/>
        </w:rPr>
      </w:pPr>
      <w:r w:rsidRPr="009E6CF4">
        <w:rPr>
          <w:b/>
          <w:bCs/>
          <w:u w:val="single"/>
        </w:rPr>
        <w:t xml:space="preserve">RFP Section 2.1. Program Administration Services Requirements </w:t>
      </w:r>
    </w:p>
    <w:p w14:paraId="3BF4DA1A" w14:textId="02EB5A81" w:rsidR="004D2DDA" w:rsidRDefault="004D2DDA" w:rsidP="004D2DDA">
      <w:pPr>
        <w:pStyle w:val="ListParagraph"/>
        <w:widowControl/>
        <w:numPr>
          <w:ilvl w:val="0"/>
          <w:numId w:val="15"/>
        </w:numPr>
        <w:spacing w:before="60" w:after="60" w:line="276" w:lineRule="auto"/>
        <w:ind w:left="1500" w:right="0"/>
        <w:jc w:val="both"/>
      </w:pPr>
      <w:r>
        <w:t xml:space="preserve">2.1.1. </w:t>
      </w:r>
      <w:r w:rsidRPr="00307B8B">
        <w:t>Administration and Compliance</w:t>
      </w:r>
    </w:p>
    <w:p w14:paraId="3B5FE96B" w14:textId="77777777" w:rsidR="004D2DDA" w:rsidRPr="009E6CF4" w:rsidRDefault="004D2DDA" w:rsidP="004D2DDA">
      <w:pPr>
        <w:pStyle w:val="ListParagraph"/>
        <w:widowControl/>
        <w:numPr>
          <w:ilvl w:val="1"/>
          <w:numId w:val="15"/>
        </w:numPr>
        <w:spacing w:before="60" w:after="60" w:line="276" w:lineRule="auto"/>
        <w:ind w:left="2220" w:right="0"/>
        <w:jc w:val="both"/>
      </w:pPr>
      <w:r w:rsidRPr="009E6CF4">
        <w:t xml:space="preserve">Requirement 2.1.1.2 </w:t>
      </w:r>
    </w:p>
    <w:p w14:paraId="00E175AD" w14:textId="3D8287F9" w:rsidR="004D2DDA" w:rsidRPr="009E6CF4" w:rsidRDefault="004D2DDA" w:rsidP="00B32187">
      <w:pPr>
        <w:pStyle w:val="ListParagraph"/>
        <w:widowControl/>
        <w:numPr>
          <w:ilvl w:val="1"/>
          <w:numId w:val="15"/>
        </w:numPr>
        <w:spacing w:before="60" w:after="60" w:line="276" w:lineRule="auto"/>
        <w:ind w:left="2220" w:right="0"/>
        <w:jc w:val="both"/>
      </w:pPr>
      <w:r w:rsidRPr="009E6CF4">
        <w:t>Requirement 2.1.1.10</w:t>
      </w:r>
    </w:p>
    <w:p w14:paraId="646C14BC" w14:textId="667977AF" w:rsidR="004D2DDA" w:rsidRPr="009E6CF4" w:rsidRDefault="004D2DDA" w:rsidP="004D2DDA">
      <w:pPr>
        <w:pStyle w:val="ListParagraph"/>
        <w:widowControl/>
        <w:numPr>
          <w:ilvl w:val="0"/>
          <w:numId w:val="15"/>
        </w:numPr>
        <w:spacing w:before="60" w:after="60" w:line="276" w:lineRule="auto"/>
        <w:ind w:left="1500" w:right="0"/>
        <w:jc w:val="both"/>
      </w:pPr>
      <w:r w:rsidRPr="009E6CF4">
        <w:t>2.1.3. Customer Service</w:t>
      </w:r>
    </w:p>
    <w:p w14:paraId="2164548E" w14:textId="77777777" w:rsidR="004D2DDA" w:rsidRPr="009E6CF4" w:rsidRDefault="004D2DDA" w:rsidP="004D2DDA">
      <w:pPr>
        <w:pStyle w:val="ListParagraph"/>
        <w:widowControl/>
        <w:numPr>
          <w:ilvl w:val="1"/>
          <w:numId w:val="15"/>
        </w:numPr>
        <w:spacing w:before="60" w:after="60" w:line="276" w:lineRule="auto"/>
        <w:ind w:left="2220" w:right="0"/>
        <w:jc w:val="both"/>
      </w:pPr>
      <w:r w:rsidRPr="009E6CF4">
        <w:t xml:space="preserve">Requirement 2.1.3.1 </w:t>
      </w:r>
    </w:p>
    <w:p w14:paraId="210C8BE0" w14:textId="77777777" w:rsidR="004D2DDA" w:rsidRPr="009E6CF4" w:rsidRDefault="004D2DDA" w:rsidP="004D2DDA">
      <w:pPr>
        <w:pStyle w:val="ListParagraph"/>
        <w:widowControl/>
        <w:spacing w:before="60" w:after="60" w:line="276" w:lineRule="auto"/>
        <w:ind w:left="2220" w:right="0" w:firstLine="0"/>
        <w:jc w:val="both"/>
        <w:rPr>
          <w:b/>
          <w:bCs/>
        </w:rPr>
      </w:pPr>
    </w:p>
    <w:p w14:paraId="795EE45E" w14:textId="77777777" w:rsidR="004D2DDA" w:rsidRPr="009E6CF4" w:rsidRDefault="004D2DDA" w:rsidP="004D2DDA">
      <w:pPr>
        <w:spacing w:before="60" w:after="60" w:line="276" w:lineRule="auto"/>
        <w:ind w:left="720"/>
        <w:jc w:val="both"/>
        <w:rPr>
          <w:b/>
          <w:bCs/>
          <w:u w:val="single"/>
        </w:rPr>
      </w:pPr>
      <w:r w:rsidRPr="009E6CF4">
        <w:rPr>
          <w:b/>
          <w:bCs/>
          <w:u w:val="single"/>
        </w:rPr>
        <w:t xml:space="preserve">RFP Section 2.2. Investment Management Services Requirements </w:t>
      </w:r>
    </w:p>
    <w:p w14:paraId="486BDBBD" w14:textId="3902A4CA" w:rsidR="004D2DDA" w:rsidRDefault="004D2DDA" w:rsidP="004D2DDA">
      <w:pPr>
        <w:pStyle w:val="ListParagraph"/>
        <w:widowControl/>
        <w:numPr>
          <w:ilvl w:val="1"/>
          <w:numId w:val="15"/>
        </w:numPr>
        <w:spacing w:before="60" w:after="60" w:line="276" w:lineRule="auto"/>
        <w:ind w:left="2220" w:right="0"/>
        <w:jc w:val="both"/>
      </w:pPr>
      <w:r w:rsidRPr="009E6CF4">
        <w:t xml:space="preserve">Requirement 2.2.7 </w:t>
      </w:r>
    </w:p>
    <w:p w14:paraId="3578BB9D" w14:textId="77777777" w:rsidR="004A6D2F" w:rsidRDefault="004A6D2F" w:rsidP="004A6D2F">
      <w:pPr>
        <w:pStyle w:val="ListParagraph"/>
        <w:widowControl/>
        <w:spacing w:before="60" w:after="60" w:line="276" w:lineRule="auto"/>
        <w:ind w:left="2220" w:right="0" w:firstLine="0"/>
        <w:jc w:val="both"/>
      </w:pPr>
    </w:p>
    <w:p w14:paraId="29BF6126" w14:textId="6036FFDD" w:rsidR="004A6D2F" w:rsidRPr="004A6D2F" w:rsidRDefault="004A6D2F" w:rsidP="007B6532">
      <w:pPr>
        <w:spacing w:before="60" w:after="60" w:line="276" w:lineRule="auto"/>
        <w:ind w:left="720"/>
        <w:jc w:val="both"/>
        <w:rPr>
          <w:b/>
          <w:bCs/>
          <w:u w:val="single"/>
        </w:rPr>
      </w:pPr>
      <w:r w:rsidRPr="004A6D2F">
        <w:rPr>
          <w:b/>
          <w:bCs/>
          <w:u w:val="single"/>
        </w:rPr>
        <w:t xml:space="preserve">RFP Section </w:t>
      </w:r>
      <w:r>
        <w:rPr>
          <w:b/>
          <w:bCs/>
          <w:u w:val="single"/>
        </w:rPr>
        <w:t>4.3</w:t>
      </w:r>
      <w:r w:rsidRPr="004A6D2F">
        <w:rPr>
          <w:b/>
          <w:bCs/>
          <w:u w:val="single"/>
        </w:rPr>
        <w:t xml:space="preserve">. Investment Management Services </w:t>
      </w:r>
    </w:p>
    <w:p w14:paraId="75318972" w14:textId="2DD16E7A" w:rsidR="00D60B76" w:rsidRDefault="00D60B76" w:rsidP="007B6532">
      <w:pPr>
        <w:pStyle w:val="ListParagraph"/>
        <w:widowControl/>
        <w:numPr>
          <w:ilvl w:val="0"/>
          <w:numId w:val="15"/>
        </w:numPr>
        <w:spacing w:before="60" w:after="60" w:line="276" w:lineRule="auto"/>
        <w:ind w:left="1500" w:right="0"/>
        <w:jc w:val="both"/>
      </w:pPr>
      <w:r>
        <w:t>4.3.4</w:t>
      </w:r>
      <w:r w:rsidR="007B6532">
        <w:t>. Passive Strategies</w:t>
      </w:r>
    </w:p>
    <w:p w14:paraId="013FAD63" w14:textId="77777777" w:rsidR="004A6D2F" w:rsidRPr="009E6CF4" w:rsidRDefault="004A6D2F" w:rsidP="004A6D2F">
      <w:pPr>
        <w:pStyle w:val="ListParagraph"/>
        <w:widowControl/>
        <w:spacing w:before="60" w:after="60" w:line="276" w:lineRule="auto"/>
        <w:ind w:left="2220" w:right="0" w:firstLine="0"/>
        <w:jc w:val="both"/>
      </w:pPr>
    </w:p>
    <w:p w14:paraId="6CD9C995" w14:textId="2756B1A8" w:rsidR="004D2DDA" w:rsidRPr="00B82816" w:rsidRDefault="007B6532" w:rsidP="004D2DDA">
      <w:pPr>
        <w:spacing w:before="240"/>
        <w:jc w:val="both"/>
        <w:rPr>
          <w:rFonts w:eastAsia="Calibri"/>
        </w:rPr>
      </w:pPr>
      <w:r>
        <w:rPr>
          <w:rFonts w:eastAsia="Calibri"/>
        </w:rPr>
        <w:t>Amended</w:t>
      </w:r>
      <w:r w:rsidR="004D2DDA" w:rsidRPr="00B82816">
        <w:rPr>
          <w:rFonts w:eastAsia="Calibri"/>
        </w:rPr>
        <w:t xml:space="preserve"> pages are attached to this document. All </w:t>
      </w:r>
      <w:r w:rsidR="004D2DDA">
        <w:rPr>
          <w:rFonts w:eastAsia="Calibri"/>
        </w:rPr>
        <w:t xml:space="preserve">deletions are </w:t>
      </w:r>
      <w:r>
        <w:rPr>
          <w:rFonts w:eastAsia="Calibri"/>
        </w:rPr>
        <w:t>shown</w:t>
      </w:r>
      <w:r w:rsidR="004D2DDA">
        <w:rPr>
          <w:rFonts w:eastAsia="Calibri"/>
        </w:rPr>
        <w:t xml:space="preserve"> in red text (</w:t>
      </w:r>
      <w:r w:rsidR="004D2DDA" w:rsidRPr="00AF5C2E">
        <w:rPr>
          <w:rFonts w:eastAsia="Calibri"/>
          <w:strike/>
          <w:color w:val="C00000"/>
        </w:rPr>
        <w:t>red</w:t>
      </w:r>
      <w:r w:rsidR="004D2DDA" w:rsidRPr="00AF5C2E">
        <w:rPr>
          <w:rFonts w:eastAsia="Calibri"/>
        </w:rPr>
        <w:t>)</w:t>
      </w:r>
      <w:r w:rsidR="004D2DDA" w:rsidRPr="00AF5C2E">
        <w:rPr>
          <w:rFonts w:eastAsia="Calibri"/>
          <w:color w:val="C00000"/>
        </w:rPr>
        <w:t xml:space="preserve"> </w:t>
      </w:r>
      <w:r w:rsidR="004D2DDA">
        <w:rPr>
          <w:rFonts w:eastAsia="Calibri"/>
        </w:rPr>
        <w:t xml:space="preserve">with </w:t>
      </w:r>
      <w:r w:rsidR="004D2DDA" w:rsidRPr="00B82816">
        <w:rPr>
          <w:rFonts w:eastAsia="Calibri"/>
        </w:rPr>
        <w:t xml:space="preserve">additions </w:t>
      </w:r>
      <w:r>
        <w:rPr>
          <w:rFonts w:eastAsia="Calibri"/>
        </w:rPr>
        <w:t>shown</w:t>
      </w:r>
      <w:r w:rsidR="004D2DDA" w:rsidRPr="00B82816">
        <w:rPr>
          <w:rFonts w:eastAsia="Calibri"/>
        </w:rPr>
        <w:t xml:space="preserve"> in </w:t>
      </w:r>
      <w:r w:rsidR="004D2DDA">
        <w:rPr>
          <w:rFonts w:eastAsia="Calibri"/>
        </w:rPr>
        <w:t>blue text</w:t>
      </w:r>
      <w:r w:rsidR="004D2DDA" w:rsidRPr="00B82816">
        <w:rPr>
          <w:rFonts w:eastAsia="Calibri"/>
        </w:rPr>
        <w:t xml:space="preserve"> </w:t>
      </w:r>
      <w:r w:rsidR="004D2DDA" w:rsidRPr="00AF5C2E">
        <w:rPr>
          <w:rFonts w:eastAsia="Calibri"/>
        </w:rPr>
        <w:t>(</w:t>
      </w:r>
      <w:r w:rsidR="004D2DDA" w:rsidRPr="00B82816">
        <w:rPr>
          <w:rFonts w:eastAsia="Calibri"/>
          <w:color w:val="0067B4"/>
          <w:u w:val="single"/>
        </w:rPr>
        <w:t>blue</w:t>
      </w:r>
      <w:r w:rsidR="004D2DDA" w:rsidRPr="00AF5C2E">
        <w:rPr>
          <w:rFonts w:eastAsia="Calibri"/>
        </w:rPr>
        <w:t>)</w:t>
      </w:r>
      <w:r w:rsidR="004D2DDA" w:rsidRPr="00B82816">
        <w:rPr>
          <w:rFonts w:eastAsia="Calibri"/>
        </w:rPr>
        <w:t>.</w:t>
      </w:r>
    </w:p>
    <w:p w14:paraId="7A1756DB" w14:textId="77777777" w:rsidR="004D2DDA" w:rsidRPr="00B82816" w:rsidRDefault="004D2DDA" w:rsidP="004D2DDA">
      <w:pPr>
        <w:spacing w:before="240"/>
        <w:jc w:val="both"/>
      </w:pPr>
      <w:r w:rsidRPr="00B82816">
        <w:rPr>
          <w:rFonts w:eastAsia="Calibri"/>
        </w:rPr>
        <w:t>All other requirements and conditions remain as indicated in the RFP.</w:t>
      </w:r>
      <w:r w:rsidRPr="00B82816">
        <w:t xml:space="preserve">  </w:t>
      </w:r>
    </w:p>
    <w:bookmarkEnd w:id="1"/>
    <w:bookmarkEnd w:id="0"/>
    <w:p w14:paraId="1F0005C6" w14:textId="77777777" w:rsidR="0076327D" w:rsidRDefault="0076327D" w:rsidP="0076327D">
      <w:pPr>
        <w:spacing w:before="40" w:after="40"/>
        <w:jc w:val="center"/>
        <w:rPr>
          <w:b/>
          <w:bCs/>
        </w:rPr>
      </w:pPr>
    </w:p>
    <w:p w14:paraId="550A5FBF" w14:textId="35C34377" w:rsidR="0076327D" w:rsidRDefault="0076327D" w:rsidP="0076327D">
      <w:pPr>
        <w:spacing w:before="40" w:after="40"/>
        <w:jc w:val="center"/>
        <w:rPr>
          <w:b/>
          <w:bCs/>
        </w:rPr>
        <w:sectPr w:rsidR="0076327D" w:rsidSect="007B6532">
          <w:headerReference w:type="default" r:id="rId9"/>
          <w:footerReference w:type="default" r:id="rId10"/>
          <w:pgSz w:w="12240" w:h="15840" w:code="1"/>
          <w:pgMar w:top="1440" w:right="1440" w:bottom="1440" w:left="1440" w:header="720" w:footer="720" w:gutter="0"/>
          <w:cols w:space="720"/>
          <w:docGrid w:linePitch="360"/>
        </w:sectPr>
      </w:pPr>
    </w:p>
    <w:tbl>
      <w:tblPr>
        <w:tblStyle w:val="TableGrid"/>
        <w:tblW w:w="14305" w:type="dxa"/>
        <w:tblLayout w:type="fixed"/>
        <w:tblLook w:val="04A0" w:firstRow="1" w:lastRow="0" w:firstColumn="1" w:lastColumn="0" w:noHBand="0" w:noVBand="1"/>
      </w:tblPr>
      <w:tblGrid>
        <w:gridCol w:w="462"/>
        <w:gridCol w:w="1696"/>
        <w:gridCol w:w="717"/>
        <w:gridCol w:w="5670"/>
        <w:gridCol w:w="5760"/>
      </w:tblGrid>
      <w:tr w:rsidR="00D60B76" w:rsidRPr="004936F0" w14:paraId="08E10FCF" w14:textId="305D5783" w:rsidTr="00D60B76">
        <w:trPr>
          <w:tblHeader/>
        </w:trPr>
        <w:tc>
          <w:tcPr>
            <w:tcW w:w="462" w:type="dxa"/>
            <w:vMerge w:val="restart"/>
            <w:shd w:val="clear" w:color="auto" w:fill="BFBFBF" w:themeFill="background1" w:themeFillShade="BF"/>
            <w:vAlign w:val="center"/>
          </w:tcPr>
          <w:p w14:paraId="2FE1D90E" w14:textId="77236D5E" w:rsidR="00D60B76" w:rsidRPr="004936F0" w:rsidRDefault="00D60B76" w:rsidP="009C1730">
            <w:pPr>
              <w:spacing w:before="40" w:after="40"/>
              <w:rPr>
                <w:b/>
                <w:bCs/>
              </w:rPr>
            </w:pPr>
            <w:r w:rsidRPr="004936F0">
              <w:rPr>
                <w:b/>
                <w:bCs/>
              </w:rPr>
              <w:lastRenderedPageBreak/>
              <w:t>#</w:t>
            </w:r>
          </w:p>
        </w:tc>
        <w:tc>
          <w:tcPr>
            <w:tcW w:w="2413" w:type="dxa"/>
            <w:gridSpan w:val="2"/>
            <w:shd w:val="clear" w:color="auto" w:fill="BFBFBF" w:themeFill="background1" w:themeFillShade="BF"/>
            <w:vAlign w:val="center"/>
          </w:tcPr>
          <w:p w14:paraId="5F587737" w14:textId="5687F77D" w:rsidR="00D60B76" w:rsidRPr="004936F0" w:rsidRDefault="00D60B76" w:rsidP="004936F0">
            <w:pPr>
              <w:spacing w:before="40" w:after="40"/>
              <w:jc w:val="center"/>
              <w:rPr>
                <w:b/>
                <w:bCs/>
              </w:rPr>
            </w:pPr>
            <w:r w:rsidRPr="004936F0">
              <w:rPr>
                <w:b/>
                <w:bCs/>
              </w:rPr>
              <w:t>RFP Reference</w:t>
            </w:r>
          </w:p>
        </w:tc>
        <w:tc>
          <w:tcPr>
            <w:tcW w:w="5670" w:type="dxa"/>
            <w:vMerge w:val="restart"/>
            <w:shd w:val="clear" w:color="auto" w:fill="BFBFBF" w:themeFill="background1" w:themeFillShade="BF"/>
            <w:vAlign w:val="center"/>
          </w:tcPr>
          <w:p w14:paraId="09C965DE" w14:textId="6DCC89FC" w:rsidR="00D60B76" w:rsidRPr="004936F0" w:rsidRDefault="00D60B76" w:rsidP="004936F0">
            <w:pPr>
              <w:spacing w:before="40" w:after="40"/>
              <w:jc w:val="center"/>
              <w:rPr>
                <w:b/>
                <w:bCs/>
              </w:rPr>
            </w:pPr>
            <w:r w:rsidRPr="004936F0">
              <w:rPr>
                <w:b/>
                <w:bCs/>
              </w:rPr>
              <w:t>Question</w:t>
            </w:r>
          </w:p>
        </w:tc>
        <w:tc>
          <w:tcPr>
            <w:tcW w:w="5760" w:type="dxa"/>
            <w:vMerge w:val="restart"/>
            <w:shd w:val="clear" w:color="auto" w:fill="BFBFBF" w:themeFill="background1" w:themeFillShade="BF"/>
            <w:vAlign w:val="center"/>
          </w:tcPr>
          <w:p w14:paraId="0E55B3D8" w14:textId="023DEE1A" w:rsidR="00D60B76" w:rsidRPr="00D60B76" w:rsidRDefault="00D60B76" w:rsidP="004936F0">
            <w:pPr>
              <w:spacing w:before="40" w:after="40"/>
              <w:jc w:val="center"/>
              <w:rPr>
                <w:b/>
                <w:bCs/>
              </w:rPr>
            </w:pPr>
            <w:r w:rsidRPr="00D60B76">
              <w:rPr>
                <w:b/>
                <w:bCs/>
              </w:rPr>
              <w:t>Answer</w:t>
            </w:r>
          </w:p>
        </w:tc>
      </w:tr>
      <w:tr w:rsidR="00D60B76" w:rsidRPr="004936F0" w14:paraId="00A17EA5" w14:textId="1320921A" w:rsidTr="00D60B76">
        <w:trPr>
          <w:tblHeader/>
        </w:trPr>
        <w:tc>
          <w:tcPr>
            <w:tcW w:w="462" w:type="dxa"/>
            <w:vMerge/>
            <w:shd w:val="clear" w:color="auto" w:fill="BFBFBF" w:themeFill="background1" w:themeFillShade="BF"/>
          </w:tcPr>
          <w:p w14:paraId="3D281D5D" w14:textId="319AA12E" w:rsidR="00D60B76" w:rsidRPr="004936F0" w:rsidRDefault="00D60B76" w:rsidP="004936F0">
            <w:pPr>
              <w:spacing w:before="40" w:after="40"/>
              <w:rPr>
                <w:b/>
                <w:bCs/>
              </w:rPr>
            </w:pPr>
          </w:p>
        </w:tc>
        <w:tc>
          <w:tcPr>
            <w:tcW w:w="1696" w:type="dxa"/>
            <w:shd w:val="clear" w:color="auto" w:fill="D9D9D9" w:themeFill="background1" w:themeFillShade="D9"/>
            <w:vAlign w:val="center"/>
          </w:tcPr>
          <w:p w14:paraId="46FB5638" w14:textId="553E7E98" w:rsidR="00D60B76" w:rsidRPr="004936F0" w:rsidRDefault="00D60B76" w:rsidP="004936F0">
            <w:pPr>
              <w:spacing w:before="40" w:after="40"/>
              <w:jc w:val="center"/>
              <w:rPr>
                <w:b/>
                <w:bCs/>
              </w:rPr>
            </w:pPr>
            <w:r w:rsidRPr="004936F0">
              <w:rPr>
                <w:b/>
                <w:bCs/>
              </w:rPr>
              <w:t>Section</w:t>
            </w:r>
          </w:p>
        </w:tc>
        <w:tc>
          <w:tcPr>
            <w:tcW w:w="717" w:type="dxa"/>
            <w:shd w:val="clear" w:color="auto" w:fill="D9D9D9" w:themeFill="background1" w:themeFillShade="D9"/>
            <w:vAlign w:val="center"/>
          </w:tcPr>
          <w:p w14:paraId="33278F97" w14:textId="14F38BF6" w:rsidR="00D60B76" w:rsidRPr="004936F0" w:rsidRDefault="00D60B76" w:rsidP="004936F0">
            <w:pPr>
              <w:spacing w:before="40" w:after="40"/>
              <w:jc w:val="center"/>
              <w:rPr>
                <w:b/>
                <w:bCs/>
              </w:rPr>
            </w:pPr>
            <w:r w:rsidRPr="004936F0">
              <w:rPr>
                <w:b/>
                <w:bCs/>
              </w:rPr>
              <w:t>Pg</w:t>
            </w:r>
          </w:p>
        </w:tc>
        <w:tc>
          <w:tcPr>
            <w:tcW w:w="5670" w:type="dxa"/>
            <w:vMerge/>
            <w:shd w:val="clear" w:color="auto" w:fill="BFBFBF" w:themeFill="background1" w:themeFillShade="BF"/>
          </w:tcPr>
          <w:p w14:paraId="49D1E275" w14:textId="77777777" w:rsidR="00D60B76" w:rsidRPr="004936F0" w:rsidRDefault="00D60B76" w:rsidP="004936F0">
            <w:pPr>
              <w:spacing w:before="40" w:after="40"/>
            </w:pPr>
          </w:p>
        </w:tc>
        <w:tc>
          <w:tcPr>
            <w:tcW w:w="5760" w:type="dxa"/>
            <w:vMerge/>
            <w:shd w:val="clear" w:color="auto" w:fill="BFBFBF" w:themeFill="background1" w:themeFillShade="BF"/>
          </w:tcPr>
          <w:p w14:paraId="13E9850A" w14:textId="77777777" w:rsidR="00D60B76" w:rsidRPr="00D60B76" w:rsidRDefault="00D60B76" w:rsidP="004936F0">
            <w:pPr>
              <w:spacing w:before="40" w:after="40"/>
            </w:pPr>
          </w:p>
        </w:tc>
      </w:tr>
      <w:tr w:rsidR="00D60B76" w:rsidRPr="004936F0" w14:paraId="52AA57BD" w14:textId="6734F19C" w:rsidTr="00D60B76">
        <w:tc>
          <w:tcPr>
            <w:tcW w:w="462" w:type="dxa"/>
            <w:shd w:val="clear" w:color="auto" w:fill="D9D9D9" w:themeFill="background1" w:themeFillShade="D9"/>
          </w:tcPr>
          <w:p w14:paraId="479201F2" w14:textId="77044216" w:rsidR="00D60B76" w:rsidRPr="004936F0" w:rsidRDefault="00D60B76" w:rsidP="001C163E">
            <w:pPr>
              <w:spacing w:before="40" w:after="40"/>
              <w:rPr>
                <w:b/>
                <w:bCs/>
              </w:rPr>
            </w:pPr>
            <w:r w:rsidRPr="004936F0">
              <w:rPr>
                <w:b/>
                <w:bCs/>
                <w:color w:val="000000"/>
              </w:rPr>
              <w:t>1</w:t>
            </w:r>
          </w:p>
        </w:tc>
        <w:tc>
          <w:tcPr>
            <w:tcW w:w="1696" w:type="dxa"/>
          </w:tcPr>
          <w:p w14:paraId="47617941" w14:textId="7482996C" w:rsidR="00D60B76" w:rsidRPr="00D60B76" w:rsidRDefault="00D60B76" w:rsidP="001C163E">
            <w:pPr>
              <w:spacing w:before="40" w:after="40"/>
              <w:rPr>
                <w:color w:val="333333"/>
              </w:rPr>
            </w:pPr>
            <w:r w:rsidRPr="00D60B76">
              <w:t>F. Contract Signing</w:t>
            </w:r>
          </w:p>
        </w:tc>
        <w:tc>
          <w:tcPr>
            <w:tcW w:w="717" w:type="dxa"/>
          </w:tcPr>
          <w:p w14:paraId="01759260" w14:textId="5144AF62" w:rsidR="00D60B76" w:rsidRPr="00D60B76" w:rsidRDefault="00D60B76" w:rsidP="001C163E">
            <w:pPr>
              <w:spacing w:before="40" w:after="40"/>
              <w:rPr>
                <w:color w:val="333333"/>
              </w:rPr>
            </w:pPr>
            <w:r w:rsidRPr="00D60B76">
              <w:t>8</w:t>
            </w:r>
          </w:p>
        </w:tc>
        <w:tc>
          <w:tcPr>
            <w:tcW w:w="5670" w:type="dxa"/>
          </w:tcPr>
          <w:p w14:paraId="5A182550" w14:textId="1E24FD47" w:rsidR="00D60B76" w:rsidRPr="00D60B76" w:rsidRDefault="00D60B76" w:rsidP="007B6532">
            <w:pPr>
              <w:spacing w:before="40" w:after="40"/>
              <w:jc w:val="both"/>
              <w:rPr>
                <w:color w:val="333333"/>
              </w:rPr>
            </w:pPr>
            <w:r w:rsidRPr="00D60B76">
              <w:t>The State says they reserve the right to require a Bidder to withdraw any and all such proposed terms or documents or parts thereof, as necessary. How much notice will the State provide in this circumstance?</w:t>
            </w:r>
          </w:p>
        </w:tc>
        <w:tc>
          <w:tcPr>
            <w:tcW w:w="5760" w:type="dxa"/>
            <w:shd w:val="clear" w:color="auto" w:fill="auto"/>
          </w:tcPr>
          <w:p w14:paraId="6B5C6562" w14:textId="1E55DE0F" w:rsidR="00D60B76" w:rsidRPr="00D60B76" w:rsidRDefault="00D60B76" w:rsidP="007B6532">
            <w:pPr>
              <w:spacing w:before="40" w:after="40"/>
              <w:jc w:val="both"/>
              <w:rPr>
                <w:b/>
                <w:bCs/>
              </w:rPr>
            </w:pPr>
            <w:r w:rsidRPr="00D60B76">
              <w:rPr>
                <w:b/>
                <w:bCs/>
              </w:rPr>
              <w:t>A request to withdraw would be made to a tentative awardee prior to undertaking contract negotiations.</w:t>
            </w:r>
          </w:p>
        </w:tc>
      </w:tr>
      <w:tr w:rsidR="00D60B76" w:rsidRPr="004936F0" w14:paraId="23CC23A8" w14:textId="46AB6F85" w:rsidTr="00D60B76">
        <w:tc>
          <w:tcPr>
            <w:tcW w:w="462" w:type="dxa"/>
            <w:shd w:val="clear" w:color="auto" w:fill="D9D9D9" w:themeFill="background1" w:themeFillShade="D9"/>
          </w:tcPr>
          <w:p w14:paraId="6BF4C04E" w14:textId="79683A94" w:rsidR="00D60B76" w:rsidRPr="004936F0" w:rsidRDefault="00D60B76" w:rsidP="001C163E">
            <w:pPr>
              <w:spacing w:before="40" w:after="40"/>
              <w:rPr>
                <w:b/>
                <w:bCs/>
              </w:rPr>
            </w:pPr>
            <w:r w:rsidRPr="004936F0">
              <w:rPr>
                <w:b/>
                <w:bCs/>
                <w:color w:val="000000"/>
              </w:rPr>
              <w:t>2</w:t>
            </w:r>
          </w:p>
        </w:tc>
        <w:tc>
          <w:tcPr>
            <w:tcW w:w="1696" w:type="dxa"/>
          </w:tcPr>
          <w:p w14:paraId="27825797" w14:textId="0C155C98" w:rsidR="00D60B76" w:rsidRPr="00D60B76" w:rsidRDefault="00D60B76" w:rsidP="001C163E">
            <w:pPr>
              <w:spacing w:before="40" w:after="40"/>
              <w:rPr>
                <w:color w:val="333333"/>
              </w:rPr>
            </w:pPr>
            <w:r w:rsidRPr="00D60B76">
              <w:t>G. Contract Term</w:t>
            </w:r>
          </w:p>
        </w:tc>
        <w:tc>
          <w:tcPr>
            <w:tcW w:w="717" w:type="dxa"/>
          </w:tcPr>
          <w:p w14:paraId="4E66FB05" w14:textId="2A8DF7DB" w:rsidR="00D60B76" w:rsidRPr="00D60B76" w:rsidRDefault="00D60B76" w:rsidP="001C163E">
            <w:pPr>
              <w:spacing w:before="40" w:after="40"/>
              <w:rPr>
                <w:color w:val="333333"/>
              </w:rPr>
            </w:pPr>
            <w:r w:rsidRPr="00D60B76">
              <w:t>8</w:t>
            </w:r>
          </w:p>
        </w:tc>
        <w:tc>
          <w:tcPr>
            <w:tcW w:w="5670" w:type="dxa"/>
          </w:tcPr>
          <w:p w14:paraId="4FABBE8E" w14:textId="405AD198" w:rsidR="00D60B76" w:rsidRPr="00D60B76" w:rsidRDefault="00D60B76" w:rsidP="007B6532">
            <w:pPr>
              <w:spacing w:before="40" w:after="40"/>
              <w:jc w:val="both"/>
              <w:rPr>
                <w:color w:val="333333"/>
              </w:rPr>
            </w:pPr>
            <w:r w:rsidRPr="00D60B76">
              <w:t>Is there any opportunity to remove the extension term or modify the length of the contract?</w:t>
            </w:r>
          </w:p>
        </w:tc>
        <w:tc>
          <w:tcPr>
            <w:tcW w:w="5760" w:type="dxa"/>
            <w:shd w:val="clear" w:color="auto" w:fill="auto"/>
          </w:tcPr>
          <w:p w14:paraId="02590827" w14:textId="3A50C9C4" w:rsidR="00D60B76" w:rsidRPr="00D60B76" w:rsidRDefault="00D60B76" w:rsidP="007B6532">
            <w:pPr>
              <w:spacing w:before="40" w:after="40"/>
              <w:jc w:val="both"/>
              <w:rPr>
                <w:b/>
                <w:bCs/>
              </w:rPr>
            </w:pPr>
            <w:r w:rsidRPr="00D60B76">
              <w:rPr>
                <w:b/>
                <w:bCs/>
              </w:rPr>
              <w:t xml:space="preserve">No. </w:t>
            </w:r>
          </w:p>
          <w:p w14:paraId="0ABA2FE5" w14:textId="3DC3097D" w:rsidR="00D60B76" w:rsidRPr="00D60B76" w:rsidRDefault="00D60B76" w:rsidP="007B6532">
            <w:pPr>
              <w:spacing w:before="40" w:after="40"/>
              <w:jc w:val="both"/>
              <w:rPr>
                <w:b/>
                <w:bCs/>
              </w:rPr>
            </w:pPr>
          </w:p>
        </w:tc>
      </w:tr>
      <w:tr w:rsidR="00D60B76" w:rsidRPr="004936F0" w14:paraId="674DB6DE" w14:textId="30BD3046" w:rsidTr="00D60B76">
        <w:tc>
          <w:tcPr>
            <w:tcW w:w="462" w:type="dxa"/>
            <w:shd w:val="clear" w:color="auto" w:fill="D9D9D9" w:themeFill="background1" w:themeFillShade="D9"/>
          </w:tcPr>
          <w:p w14:paraId="6980B819" w14:textId="2E9C31E2" w:rsidR="00D60B76" w:rsidRPr="004936F0" w:rsidRDefault="00D60B76" w:rsidP="001C163E">
            <w:pPr>
              <w:spacing w:before="40" w:after="40"/>
              <w:rPr>
                <w:b/>
                <w:bCs/>
              </w:rPr>
            </w:pPr>
            <w:r w:rsidRPr="004936F0">
              <w:rPr>
                <w:b/>
                <w:bCs/>
                <w:color w:val="000000"/>
              </w:rPr>
              <w:t>3</w:t>
            </w:r>
          </w:p>
        </w:tc>
        <w:tc>
          <w:tcPr>
            <w:tcW w:w="1696" w:type="dxa"/>
          </w:tcPr>
          <w:p w14:paraId="0A238FA5" w14:textId="77278B82" w:rsidR="00D60B76" w:rsidRPr="00D60B76" w:rsidRDefault="00D60B76" w:rsidP="001C163E">
            <w:pPr>
              <w:spacing w:before="40" w:after="40"/>
              <w:rPr>
                <w:color w:val="333333"/>
              </w:rPr>
            </w:pPr>
            <w:r w:rsidRPr="00D60B76">
              <w:t>G. Contract Term</w:t>
            </w:r>
          </w:p>
        </w:tc>
        <w:tc>
          <w:tcPr>
            <w:tcW w:w="717" w:type="dxa"/>
          </w:tcPr>
          <w:p w14:paraId="114A6A63" w14:textId="431FEB85" w:rsidR="00D60B76" w:rsidRPr="00D60B76" w:rsidRDefault="00D60B76" w:rsidP="001C163E">
            <w:pPr>
              <w:spacing w:before="40" w:after="40"/>
              <w:rPr>
                <w:color w:val="333333"/>
              </w:rPr>
            </w:pPr>
            <w:r w:rsidRPr="00D60B76">
              <w:t>8</w:t>
            </w:r>
          </w:p>
        </w:tc>
        <w:tc>
          <w:tcPr>
            <w:tcW w:w="5670" w:type="dxa"/>
          </w:tcPr>
          <w:p w14:paraId="23D34359" w14:textId="6B2912FF" w:rsidR="00D60B76" w:rsidRPr="00D60B76" w:rsidRDefault="00D60B76" w:rsidP="007B6532">
            <w:pPr>
              <w:spacing w:before="40" w:after="40"/>
              <w:jc w:val="both"/>
              <w:rPr>
                <w:color w:val="333333"/>
              </w:rPr>
            </w:pPr>
            <w:r w:rsidRPr="00D60B76">
              <w:t>Will the State define what other uses are covered here? Transition period says 12 months, yet it says the length will be at the discretion of the State. How long in advance will we be given notice of the transition?</w:t>
            </w:r>
          </w:p>
        </w:tc>
        <w:tc>
          <w:tcPr>
            <w:tcW w:w="5760" w:type="dxa"/>
            <w:shd w:val="clear" w:color="auto" w:fill="auto"/>
          </w:tcPr>
          <w:p w14:paraId="7ACB60CE" w14:textId="0C75CD69" w:rsidR="00D60B76" w:rsidRPr="00D60B76" w:rsidRDefault="00D60B76" w:rsidP="007B6532">
            <w:pPr>
              <w:spacing w:before="40" w:after="40"/>
              <w:jc w:val="both"/>
              <w:rPr>
                <w:b/>
                <w:bCs/>
              </w:rPr>
            </w:pPr>
            <w:r w:rsidRPr="00D60B76">
              <w:rPr>
                <w:b/>
                <w:bCs/>
              </w:rPr>
              <w:t xml:space="preserve">A Transition Period is used to maintain continuity of services to the Program  during the period of time necessary for  a new contractor to prepare to take over providing services. The State will notify the incumbent contractor of its invocation of a Transition Period (and the approximate anticipated length thereof) prior to the end of the applicable initial or extension term. In the past, the timeframe for the State’s providing notification has been approximately six months before the end of such term. </w:t>
            </w:r>
          </w:p>
        </w:tc>
      </w:tr>
      <w:tr w:rsidR="00D60B76" w:rsidRPr="004936F0" w14:paraId="70C1CEEA" w14:textId="2B6DA89E" w:rsidTr="00D60B76">
        <w:tc>
          <w:tcPr>
            <w:tcW w:w="462" w:type="dxa"/>
            <w:shd w:val="clear" w:color="auto" w:fill="D9D9D9" w:themeFill="background1" w:themeFillShade="D9"/>
          </w:tcPr>
          <w:p w14:paraId="2B6D628D" w14:textId="39327728" w:rsidR="00D60B76" w:rsidRPr="004936F0" w:rsidRDefault="00D60B76" w:rsidP="001C163E">
            <w:pPr>
              <w:spacing w:before="40" w:after="40"/>
              <w:rPr>
                <w:b/>
                <w:bCs/>
              </w:rPr>
            </w:pPr>
            <w:r w:rsidRPr="004936F0">
              <w:rPr>
                <w:b/>
                <w:bCs/>
                <w:color w:val="000000"/>
              </w:rPr>
              <w:t>4</w:t>
            </w:r>
          </w:p>
        </w:tc>
        <w:tc>
          <w:tcPr>
            <w:tcW w:w="1696" w:type="dxa"/>
          </w:tcPr>
          <w:p w14:paraId="1E6A9763" w14:textId="7D9242AD" w:rsidR="00D60B76" w:rsidRPr="00D60B76" w:rsidRDefault="00D60B76" w:rsidP="001C163E">
            <w:pPr>
              <w:spacing w:before="40" w:after="40"/>
              <w:rPr>
                <w:color w:val="333333"/>
              </w:rPr>
            </w:pPr>
            <w:r w:rsidRPr="00D60B76">
              <w:t>1.2 Background</w:t>
            </w:r>
          </w:p>
        </w:tc>
        <w:tc>
          <w:tcPr>
            <w:tcW w:w="717" w:type="dxa"/>
          </w:tcPr>
          <w:p w14:paraId="7A3E7479" w14:textId="6F14ECF7" w:rsidR="00D60B76" w:rsidRPr="00D60B76" w:rsidRDefault="00D60B76" w:rsidP="001C163E">
            <w:pPr>
              <w:spacing w:before="40" w:after="40"/>
              <w:rPr>
                <w:color w:val="333333"/>
              </w:rPr>
            </w:pPr>
            <w:r w:rsidRPr="00D60B76">
              <w:t>11</w:t>
            </w:r>
          </w:p>
        </w:tc>
        <w:tc>
          <w:tcPr>
            <w:tcW w:w="5670" w:type="dxa"/>
          </w:tcPr>
          <w:p w14:paraId="01E5039F" w14:textId="37D842BD" w:rsidR="00D60B76" w:rsidRPr="00D60B76" w:rsidRDefault="00D60B76" w:rsidP="007B6532">
            <w:pPr>
              <w:spacing w:before="40" w:after="200"/>
              <w:jc w:val="both"/>
            </w:pPr>
            <w:r w:rsidRPr="00D60B76">
              <w:t xml:space="preserve">Can this Article 43 of the NYS General Business Law (the “Act”) be amended to allow for Starter K (defined </w:t>
            </w:r>
            <w:hyperlink r:id="rId11">
              <w:r w:rsidRPr="00D60B76">
                <w:rPr>
                  <w:u w:val="single"/>
                </w:rPr>
                <w:t>here</w:t>
              </w:r>
            </w:hyperlink>
            <w:r w:rsidRPr="00D60B76">
              <w:rPr>
                <w:u w:val="single"/>
                <w:vertAlign w:val="superscript"/>
              </w:rPr>
              <w:t>1</w:t>
            </w:r>
            <w:r w:rsidRPr="00D60B76">
              <w:t xml:space="preserve">)? Link to </w:t>
            </w:r>
            <w:hyperlink r:id="rId12">
              <w:r w:rsidRPr="00D60B76">
                <w:rPr>
                  <w:u w:val="single"/>
                </w:rPr>
                <w:t>Secure Act 2.0 documentation</w:t>
              </w:r>
            </w:hyperlink>
            <w:r w:rsidRPr="00D60B76">
              <w:rPr>
                <w:u w:val="single"/>
                <w:vertAlign w:val="superscript"/>
              </w:rPr>
              <w:t>2</w:t>
            </w:r>
            <w:r w:rsidRPr="00D60B76">
              <w:t xml:space="preserve"> (page 5). [Potential Bidder] is interested in making a bid for Starter K as opposed to IRA.</w:t>
            </w:r>
          </w:p>
          <w:p w14:paraId="2E2C5A3D" w14:textId="77777777" w:rsidR="00D60B76" w:rsidRPr="00D60B76" w:rsidRDefault="005022E9" w:rsidP="007B6532">
            <w:pPr>
              <w:spacing w:before="40" w:after="40"/>
              <w:ind w:left="65" w:hanging="65"/>
              <w:jc w:val="both"/>
              <w:rPr>
                <w:color w:val="333333"/>
                <w:sz w:val="20"/>
                <w:szCs w:val="20"/>
              </w:rPr>
            </w:pPr>
            <w:hyperlink r:id="rId13" w:history="1">
              <w:r w:rsidR="00D60B76" w:rsidRPr="00D60B76">
                <w:rPr>
                  <w:sz w:val="20"/>
                  <w:szCs w:val="20"/>
                  <w:vertAlign w:val="superscript"/>
                </w:rPr>
                <w:t>1</w:t>
              </w:r>
              <w:r w:rsidR="00D60B76" w:rsidRPr="00D60B76">
                <w:rPr>
                  <w:rStyle w:val="Hyperlink"/>
                  <w:sz w:val="20"/>
                  <w:szCs w:val="20"/>
                </w:rPr>
                <w:t xml:space="preserve">https://tax.thomsonreuters.com/blog/what-are-starter-401k-plans-under-the-secure-2-0-act/ </w:t>
              </w:r>
            </w:hyperlink>
            <w:r w:rsidR="00D60B76" w:rsidRPr="00D60B76">
              <w:rPr>
                <w:color w:val="333333"/>
                <w:sz w:val="20"/>
                <w:szCs w:val="20"/>
              </w:rPr>
              <w:t xml:space="preserve"> </w:t>
            </w:r>
          </w:p>
          <w:p w14:paraId="35245B33" w14:textId="443FB2D6" w:rsidR="00D60B76" w:rsidRPr="00D60B76" w:rsidRDefault="00D60B76" w:rsidP="007B6532">
            <w:pPr>
              <w:spacing w:before="40" w:after="40"/>
              <w:ind w:left="65" w:hanging="65"/>
              <w:jc w:val="both"/>
              <w:rPr>
                <w:color w:val="333333"/>
              </w:rPr>
            </w:pPr>
            <w:r w:rsidRPr="00D60B76">
              <w:rPr>
                <w:sz w:val="20"/>
                <w:szCs w:val="20"/>
                <w:vertAlign w:val="superscript"/>
              </w:rPr>
              <w:t>2</w:t>
            </w:r>
            <w:r w:rsidRPr="00D60B76">
              <w:rPr>
                <w:rStyle w:val="Hyperlink"/>
                <w:sz w:val="20"/>
                <w:szCs w:val="20"/>
              </w:rPr>
              <w:t>https://www.finance.senate.gov/imo/media/doc/Secure 2.0_Section by Section Summary 12-19-22 FINAL.pdf</w:t>
            </w:r>
          </w:p>
        </w:tc>
        <w:tc>
          <w:tcPr>
            <w:tcW w:w="5760" w:type="dxa"/>
            <w:shd w:val="clear" w:color="auto" w:fill="auto"/>
          </w:tcPr>
          <w:p w14:paraId="4ECB8533" w14:textId="061A6231" w:rsidR="00D60B76" w:rsidRPr="00D60B76" w:rsidRDefault="00D60B76" w:rsidP="007B6532">
            <w:pPr>
              <w:spacing w:before="40" w:after="40"/>
              <w:jc w:val="both"/>
              <w:rPr>
                <w:b/>
                <w:bCs/>
              </w:rPr>
            </w:pPr>
            <w:r w:rsidRPr="00D60B76">
              <w:rPr>
                <w:b/>
                <w:bCs/>
              </w:rPr>
              <w:t xml:space="preserve">Starter K plans are not within the scope of the Act and RFP 23-100. </w:t>
            </w:r>
          </w:p>
        </w:tc>
      </w:tr>
      <w:tr w:rsidR="00D60B76" w:rsidRPr="004936F0" w14:paraId="014EB582" w14:textId="4815F963" w:rsidTr="00D60B76">
        <w:tc>
          <w:tcPr>
            <w:tcW w:w="462" w:type="dxa"/>
            <w:shd w:val="clear" w:color="auto" w:fill="D9D9D9" w:themeFill="background1" w:themeFillShade="D9"/>
          </w:tcPr>
          <w:p w14:paraId="5EBAB9C5" w14:textId="6011FB04" w:rsidR="00D60B76" w:rsidRPr="004936F0" w:rsidRDefault="00D60B76" w:rsidP="001C163E">
            <w:pPr>
              <w:spacing w:before="40" w:after="40"/>
              <w:rPr>
                <w:b/>
                <w:bCs/>
                <w:color w:val="000000"/>
              </w:rPr>
            </w:pPr>
            <w:r w:rsidRPr="004936F0">
              <w:rPr>
                <w:b/>
                <w:bCs/>
                <w:color w:val="000000"/>
              </w:rPr>
              <w:t>5</w:t>
            </w:r>
          </w:p>
        </w:tc>
        <w:tc>
          <w:tcPr>
            <w:tcW w:w="1696" w:type="dxa"/>
          </w:tcPr>
          <w:p w14:paraId="3C75AD0F" w14:textId="4608D6C1" w:rsidR="00D60B76" w:rsidRPr="00D60B76" w:rsidRDefault="00D60B76" w:rsidP="001C163E">
            <w:pPr>
              <w:spacing w:before="40" w:after="40"/>
            </w:pPr>
            <w:r w:rsidRPr="00D60B76">
              <w:t>1.2 Background &amp; 4.2.1.1</w:t>
            </w:r>
          </w:p>
        </w:tc>
        <w:tc>
          <w:tcPr>
            <w:tcW w:w="717" w:type="dxa"/>
          </w:tcPr>
          <w:p w14:paraId="097CE0E9" w14:textId="7D2898AC" w:rsidR="00D60B76" w:rsidRPr="00D60B76" w:rsidRDefault="00D60B76" w:rsidP="001C163E">
            <w:pPr>
              <w:spacing w:before="40" w:after="40"/>
            </w:pPr>
            <w:r w:rsidRPr="00D60B76">
              <w:t>11</w:t>
            </w:r>
          </w:p>
        </w:tc>
        <w:tc>
          <w:tcPr>
            <w:tcW w:w="5670" w:type="dxa"/>
          </w:tcPr>
          <w:p w14:paraId="4F357457" w14:textId="57187A30" w:rsidR="00D60B76" w:rsidRPr="00D60B76" w:rsidRDefault="00D60B76" w:rsidP="007B6532">
            <w:pPr>
              <w:spacing w:before="40" w:after="40"/>
              <w:jc w:val="both"/>
            </w:pPr>
            <w:r w:rsidRPr="00D60B76">
              <w:t>Does the Department/Board have restrictions on how quickly the program can be rolled out (with regards to employer deadlines based on number of employees or some other metric)? Is the Department targeting Q4 2024 for a pilot launch or full program launch?</w:t>
            </w:r>
          </w:p>
        </w:tc>
        <w:tc>
          <w:tcPr>
            <w:tcW w:w="5760" w:type="dxa"/>
            <w:shd w:val="clear" w:color="auto" w:fill="auto"/>
          </w:tcPr>
          <w:p w14:paraId="50BD1801" w14:textId="4D914922" w:rsidR="00D60B76" w:rsidRPr="00D60B76" w:rsidRDefault="00D60B76" w:rsidP="007B6532">
            <w:pPr>
              <w:spacing w:before="40" w:after="40"/>
              <w:jc w:val="both"/>
              <w:rPr>
                <w:b/>
                <w:bCs/>
              </w:rPr>
            </w:pPr>
            <w:r w:rsidRPr="00D60B76">
              <w:rPr>
                <w:b/>
                <w:bCs/>
              </w:rPr>
              <w:t>While the Program is targeting Q4 2024 for program launch, the implementation timeline and any potential pilot launch will be developed in coordination with the Program Administrator.</w:t>
            </w:r>
          </w:p>
        </w:tc>
      </w:tr>
      <w:tr w:rsidR="00D60B76" w:rsidRPr="004936F0" w14:paraId="6A1484B9" w14:textId="27C895D7" w:rsidTr="00D60B76">
        <w:tc>
          <w:tcPr>
            <w:tcW w:w="462" w:type="dxa"/>
            <w:shd w:val="clear" w:color="auto" w:fill="D9D9D9" w:themeFill="background1" w:themeFillShade="D9"/>
          </w:tcPr>
          <w:p w14:paraId="562BDB98" w14:textId="2CD7BF37" w:rsidR="00D60B76" w:rsidRPr="004936F0" w:rsidRDefault="00D60B76" w:rsidP="001C163E">
            <w:pPr>
              <w:spacing w:before="40" w:after="40"/>
              <w:rPr>
                <w:b/>
                <w:bCs/>
              </w:rPr>
            </w:pPr>
            <w:r w:rsidRPr="004936F0">
              <w:rPr>
                <w:b/>
                <w:bCs/>
                <w:color w:val="000000"/>
              </w:rPr>
              <w:t>6</w:t>
            </w:r>
          </w:p>
        </w:tc>
        <w:tc>
          <w:tcPr>
            <w:tcW w:w="1696" w:type="dxa"/>
          </w:tcPr>
          <w:p w14:paraId="6B944855" w14:textId="42EB5A86" w:rsidR="00D60B76" w:rsidRPr="00D60B76" w:rsidRDefault="00D60B76" w:rsidP="001C163E">
            <w:pPr>
              <w:spacing w:before="40" w:after="40"/>
              <w:rPr>
                <w:color w:val="333333"/>
              </w:rPr>
            </w:pPr>
            <w:r w:rsidRPr="00D60B76">
              <w:t>1.2 Background</w:t>
            </w:r>
          </w:p>
        </w:tc>
        <w:tc>
          <w:tcPr>
            <w:tcW w:w="717" w:type="dxa"/>
          </w:tcPr>
          <w:p w14:paraId="32A7D738" w14:textId="59FCABC2" w:rsidR="00D60B76" w:rsidRPr="00D60B76" w:rsidRDefault="00D60B76" w:rsidP="001C163E">
            <w:pPr>
              <w:spacing w:before="40" w:after="40"/>
              <w:rPr>
                <w:color w:val="333333"/>
              </w:rPr>
            </w:pPr>
            <w:r w:rsidRPr="00D60B76">
              <w:t>11</w:t>
            </w:r>
          </w:p>
        </w:tc>
        <w:tc>
          <w:tcPr>
            <w:tcW w:w="5670" w:type="dxa"/>
          </w:tcPr>
          <w:p w14:paraId="792DD1E5" w14:textId="77777777" w:rsidR="00D60B76" w:rsidRPr="00D60B76" w:rsidRDefault="00D60B76" w:rsidP="007B6532">
            <w:pPr>
              <w:spacing w:before="40" w:after="40"/>
              <w:jc w:val="both"/>
            </w:pPr>
            <w:r w:rsidRPr="00D60B76">
              <w:t xml:space="preserve">Starter K allows employers to exclude employees covered by a CBA (collective bargaining agreement) which conflicts w/ Act's requirement of automatically </w:t>
            </w:r>
            <w:r w:rsidRPr="00D60B76">
              <w:lastRenderedPageBreak/>
              <w:t xml:space="preserve">enrolling each eligible employee. Employees covered by CBA could be eligible, but excluded by employer. </w:t>
            </w:r>
          </w:p>
          <w:p w14:paraId="32962555" w14:textId="7D752FEA" w:rsidR="00D60B76" w:rsidRPr="00D60B76" w:rsidRDefault="00D60B76" w:rsidP="007B6532">
            <w:pPr>
              <w:spacing w:before="200" w:after="40"/>
              <w:jc w:val="both"/>
            </w:pPr>
            <w:r w:rsidRPr="00D60B76">
              <w:t xml:space="preserve">Is the State comfortable with this exclusionary requirement related to Starter K plans? </w:t>
            </w:r>
          </w:p>
        </w:tc>
        <w:tc>
          <w:tcPr>
            <w:tcW w:w="5760" w:type="dxa"/>
            <w:shd w:val="clear" w:color="auto" w:fill="auto"/>
          </w:tcPr>
          <w:p w14:paraId="4522FB6E" w14:textId="48875DBC" w:rsidR="00D60B76" w:rsidRPr="00D60B76" w:rsidRDefault="00D60B76" w:rsidP="007B6532">
            <w:pPr>
              <w:spacing w:before="40" w:after="40"/>
              <w:jc w:val="both"/>
              <w:rPr>
                <w:b/>
                <w:bCs/>
              </w:rPr>
            </w:pPr>
            <w:r w:rsidRPr="00D60B76">
              <w:rPr>
                <w:b/>
                <w:bCs/>
              </w:rPr>
              <w:lastRenderedPageBreak/>
              <w:t>See Answer to Question #4.</w:t>
            </w:r>
          </w:p>
        </w:tc>
      </w:tr>
      <w:tr w:rsidR="00D60B76" w:rsidRPr="004936F0" w14:paraId="449D6265" w14:textId="2507E874" w:rsidTr="00D60B76">
        <w:tc>
          <w:tcPr>
            <w:tcW w:w="462" w:type="dxa"/>
            <w:shd w:val="clear" w:color="auto" w:fill="D9D9D9" w:themeFill="background1" w:themeFillShade="D9"/>
          </w:tcPr>
          <w:p w14:paraId="30349E46" w14:textId="2D77D56D" w:rsidR="00D60B76" w:rsidRPr="004936F0" w:rsidRDefault="00D60B76" w:rsidP="001C163E">
            <w:pPr>
              <w:spacing w:before="40" w:after="40"/>
              <w:rPr>
                <w:b/>
                <w:bCs/>
              </w:rPr>
            </w:pPr>
            <w:r>
              <w:rPr>
                <w:b/>
                <w:bCs/>
                <w:color w:val="000000"/>
              </w:rPr>
              <w:t xml:space="preserve"> </w:t>
            </w:r>
            <w:r w:rsidRPr="004936F0">
              <w:rPr>
                <w:b/>
                <w:bCs/>
                <w:color w:val="000000"/>
              </w:rPr>
              <w:t>7</w:t>
            </w:r>
          </w:p>
        </w:tc>
        <w:tc>
          <w:tcPr>
            <w:tcW w:w="1696" w:type="dxa"/>
          </w:tcPr>
          <w:p w14:paraId="6DA8C0F0" w14:textId="5734EE78" w:rsidR="00D60B76" w:rsidRPr="00D60B76" w:rsidRDefault="00D60B76" w:rsidP="001C163E">
            <w:pPr>
              <w:spacing w:before="40" w:after="40"/>
              <w:rPr>
                <w:color w:val="333333"/>
              </w:rPr>
            </w:pPr>
            <w:r w:rsidRPr="00D60B76">
              <w:t>1.3 Program Design Specifics</w:t>
            </w:r>
          </w:p>
        </w:tc>
        <w:tc>
          <w:tcPr>
            <w:tcW w:w="717" w:type="dxa"/>
          </w:tcPr>
          <w:p w14:paraId="7DFEAB66" w14:textId="24AD4956" w:rsidR="00D60B76" w:rsidRPr="00D60B76" w:rsidRDefault="00D60B76" w:rsidP="001C163E">
            <w:pPr>
              <w:spacing w:before="40" w:after="40"/>
              <w:rPr>
                <w:color w:val="333333"/>
              </w:rPr>
            </w:pPr>
            <w:r w:rsidRPr="00D60B76">
              <w:t>12</w:t>
            </w:r>
          </w:p>
        </w:tc>
        <w:tc>
          <w:tcPr>
            <w:tcW w:w="5670" w:type="dxa"/>
          </w:tcPr>
          <w:p w14:paraId="75B32516" w14:textId="77777777" w:rsidR="00D60B76" w:rsidRPr="00D60B76" w:rsidRDefault="00D60B76" w:rsidP="007B6532">
            <w:pPr>
              <w:spacing w:before="40" w:after="40"/>
              <w:jc w:val="both"/>
            </w:pPr>
            <w:r w:rsidRPr="00D60B76">
              <w:t>(provided starter k is acceptable)</w:t>
            </w:r>
          </w:p>
          <w:p w14:paraId="2BD40FD5" w14:textId="74A2A716" w:rsidR="00D60B76" w:rsidRPr="00D60B76" w:rsidRDefault="00D60B76" w:rsidP="007B6532">
            <w:pPr>
              <w:spacing w:before="40" w:after="40"/>
              <w:jc w:val="both"/>
              <w:rPr>
                <w:color w:val="333333"/>
              </w:rPr>
            </w:pPr>
            <w:r w:rsidRPr="00D60B76">
              <w:t xml:space="preserve">Starter K allows for more stringent age and service requirements than outlined here. Will the State accept any adjustments to </w:t>
            </w:r>
            <w:proofErr w:type="gramStart"/>
            <w:r w:rsidRPr="00D60B76">
              <w:t>this criteria</w:t>
            </w:r>
            <w:proofErr w:type="gramEnd"/>
            <w:r w:rsidRPr="00D60B76">
              <w:t xml:space="preserve"> to match Starter K requirements?</w:t>
            </w:r>
          </w:p>
        </w:tc>
        <w:tc>
          <w:tcPr>
            <w:tcW w:w="5760" w:type="dxa"/>
            <w:shd w:val="clear" w:color="auto" w:fill="auto"/>
          </w:tcPr>
          <w:p w14:paraId="017019E0" w14:textId="0FDAD462" w:rsidR="00D60B76" w:rsidRPr="00D60B76" w:rsidRDefault="00D60B76" w:rsidP="007B6532">
            <w:pPr>
              <w:spacing w:before="40" w:after="40"/>
              <w:jc w:val="both"/>
              <w:rPr>
                <w:b/>
                <w:bCs/>
              </w:rPr>
            </w:pPr>
            <w:r w:rsidRPr="00D60B76">
              <w:rPr>
                <w:b/>
                <w:bCs/>
              </w:rPr>
              <w:t>See Answer to Question #4.</w:t>
            </w:r>
          </w:p>
        </w:tc>
      </w:tr>
      <w:tr w:rsidR="00D60B76" w:rsidRPr="004936F0" w14:paraId="584ABE1D" w14:textId="730B4A40" w:rsidTr="00D60B76">
        <w:tc>
          <w:tcPr>
            <w:tcW w:w="462" w:type="dxa"/>
            <w:shd w:val="clear" w:color="auto" w:fill="D9D9D9" w:themeFill="background1" w:themeFillShade="D9"/>
          </w:tcPr>
          <w:p w14:paraId="645F631C" w14:textId="1115028F" w:rsidR="00D60B76" w:rsidRPr="004936F0" w:rsidRDefault="00D60B76" w:rsidP="001C163E">
            <w:pPr>
              <w:spacing w:before="40" w:after="40"/>
              <w:rPr>
                <w:b/>
                <w:bCs/>
              </w:rPr>
            </w:pPr>
            <w:r w:rsidRPr="004936F0">
              <w:rPr>
                <w:b/>
                <w:bCs/>
                <w:color w:val="000000"/>
              </w:rPr>
              <w:t>8</w:t>
            </w:r>
          </w:p>
        </w:tc>
        <w:tc>
          <w:tcPr>
            <w:tcW w:w="1696" w:type="dxa"/>
          </w:tcPr>
          <w:p w14:paraId="3A6A0B8E" w14:textId="1E1350CB" w:rsidR="00D60B76" w:rsidRPr="00D60B76" w:rsidRDefault="00D60B76" w:rsidP="001C163E">
            <w:pPr>
              <w:spacing w:before="40" w:after="40"/>
              <w:rPr>
                <w:color w:val="333333"/>
              </w:rPr>
            </w:pPr>
            <w:r w:rsidRPr="00D60B76">
              <w:t>1.3 Program Design Specifics</w:t>
            </w:r>
          </w:p>
        </w:tc>
        <w:tc>
          <w:tcPr>
            <w:tcW w:w="717" w:type="dxa"/>
          </w:tcPr>
          <w:p w14:paraId="114A0D06" w14:textId="6D8AFC05" w:rsidR="00D60B76" w:rsidRPr="00D60B76" w:rsidRDefault="00D60B76" w:rsidP="001C163E">
            <w:pPr>
              <w:spacing w:before="40" w:after="40"/>
              <w:rPr>
                <w:color w:val="333333"/>
              </w:rPr>
            </w:pPr>
            <w:r w:rsidRPr="00D60B76">
              <w:t>12</w:t>
            </w:r>
          </w:p>
        </w:tc>
        <w:tc>
          <w:tcPr>
            <w:tcW w:w="5670" w:type="dxa"/>
          </w:tcPr>
          <w:p w14:paraId="640E59C6" w14:textId="61147926" w:rsidR="00D60B76" w:rsidRPr="00D60B76" w:rsidRDefault="00D60B76" w:rsidP="007B6532">
            <w:pPr>
              <w:spacing w:before="40" w:after="40"/>
              <w:jc w:val="both"/>
            </w:pPr>
            <w:r w:rsidRPr="00D60B76">
              <w:t xml:space="preserve">Does the Department/Board intend to pursue automatic escalation of contribution rates, or an increase in the default contribution rate? </w:t>
            </w:r>
          </w:p>
        </w:tc>
        <w:tc>
          <w:tcPr>
            <w:tcW w:w="5760" w:type="dxa"/>
            <w:shd w:val="clear" w:color="auto" w:fill="auto"/>
          </w:tcPr>
          <w:p w14:paraId="1596E137" w14:textId="6A40559B" w:rsidR="00D60B76" w:rsidRPr="00D60B76" w:rsidRDefault="00D60B76" w:rsidP="007B6532">
            <w:pPr>
              <w:spacing w:before="40" w:after="40"/>
              <w:jc w:val="both"/>
              <w:rPr>
                <w:b/>
              </w:rPr>
            </w:pPr>
            <w:r w:rsidRPr="00D60B76">
              <w:rPr>
                <w:b/>
              </w:rPr>
              <w:t xml:space="preserve">The default contribution rate will be 3% as established in the Act.  Enrollees may be afforded an option to elect for automatic escalation of contribution rates. </w:t>
            </w:r>
          </w:p>
        </w:tc>
      </w:tr>
      <w:tr w:rsidR="00D60B76" w:rsidRPr="004936F0" w14:paraId="6332C4EE" w14:textId="2A2B40AF" w:rsidTr="00D60B76">
        <w:tc>
          <w:tcPr>
            <w:tcW w:w="462" w:type="dxa"/>
            <w:shd w:val="clear" w:color="auto" w:fill="D9D9D9" w:themeFill="background1" w:themeFillShade="D9"/>
          </w:tcPr>
          <w:p w14:paraId="466C5526" w14:textId="6E0FED68" w:rsidR="00D60B76" w:rsidRPr="004936F0" w:rsidRDefault="00D60B76" w:rsidP="001C163E">
            <w:pPr>
              <w:spacing w:before="40" w:after="40"/>
              <w:rPr>
                <w:b/>
                <w:bCs/>
              </w:rPr>
            </w:pPr>
            <w:r w:rsidRPr="004936F0">
              <w:rPr>
                <w:b/>
                <w:bCs/>
                <w:color w:val="000000"/>
              </w:rPr>
              <w:t>9</w:t>
            </w:r>
          </w:p>
        </w:tc>
        <w:tc>
          <w:tcPr>
            <w:tcW w:w="1696" w:type="dxa"/>
          </w:tcPr>
          <w:p w14:paraId="450B5AE3" w14:textId="44AC3FB4" w:rsidR="00D60B76" w:rsidRPr="00D60B76" w:rsidRDefault="00D60B76" w:rsidP="001C163E">
            <w:pPr>
              <w:spacing w:before="40" w:after="40"/>
              <w:rPr>
                <w:color w:val="333333"/>
              </w:rPr>
            </w:pPr>
            <w:r w:rsidRPr="00D60B76">
              <w:t>1.3/1.4</w:t>
            </w:r>
          </w:p>
        </w:tc>
        <w:tc>
          <w:tcPr>
            <w:tcW w:w="717" w:type="dxa"/>
          </w:tcPr>
          <w:p w14:paraId="5FAA8643" w14:textId="1F14AD3E" w:rsidR="00D60B76" w:rsidRPr="00D60B76" w:rsidRDefault="00D60B76" w:rsidP="001C163E">
            <w:pPr>
              <w:spacing w:before="40" w:after="40"/>
              <w:rPr>
                <w:color w:val="333333"/>
              </w:rPr>
            </w:pPr>
            <w:r w:rsidRPr="00D60B76">
              <w:t>12</w:t>
            </w:r>
          </w:p>
        </w:tc>
        <w:tc>
          <w:tcPr>
            <w:tcW w:w="5670" w:type="dxa"/>
          </w:tcPr>
          <w:p w14:paraId="56A002C4" w14:textId="69788E5A" w:rsidR="00D60B76" w:rsidRPr="00D60B76" w:rsidRDefault="00D60B76" w:rsidP="007B6532">
            <w:pPr>
              <w:spacing w:before="40" w:after="40"/>
              <w:jc w:val="both"/>
            </w:pPr>
            <w:r w:rsidRPr="00D60B76">
              <w:t xml:space="preserve">When does the Department/Board intend to implement enforcement to ensure compliance with state law? Is there an expectation that the non-compliant employers will face financial penalties? </w:t>
            </w:r>
          </w:p>
        </w:tc>
        <w:tc>
          <w:tcPr>
            <w:tcW w:w="5760" w:type="dxa"/>
            <w:shd w:val="clear" w:color="auto" w:fill="auto"/>
          </w:tcPr>
          <w:p w14:paraId="105CB00B" w14:textId="5F349FAB" w:rsidR="00D60B76" w:rsidRPr="00D60B76" w:rsidRDefault="00D60B76" w:rsidP="007B6532">
            <w:pPr>
              <w:spacing w:before="40" w:after="40"/>
              <w:jc w:val="both"/>
              <w:rPr>
                <w:b/>
              </w:rPr>
            </w:pPr>
            <w:r w:rsidRPr="00D60B76">
              <w:rPr>
                <w:b/>
              </w:rPr>
              <w:t>The Act does not delineate penalties for employer noncompliance.</w:t>
            </w:r>
          </w:p>
          <w:p w14:paraId="539701F4" w14:textId="4C04EC7B" w:rsidR="00D60B76" w:rsidRPr="00D60B76" w:rsidRDefault="00D60B76" w:rsidP="007B6532">
            <w:pPr>
              <w:spacing w:before="40" w:after="40"/>
              <w:jc w:val="both"/>
              <w:rPr>
                <w:b/>
              </w:rPr>
            </w:pPr>
          </w:p>
        </w:tc>
      </w:tr>
      <w:tr w:rsidR="00D60B76" w:rsidRPr="004936F0" w14:paraId="2114881D" w14:textId="0EF6FF73" w:rsidTr="00D60B76">
        <w:tc>
          <w:tcPr>
            <w:tcW w:w="462" w:type="dxa"/>
            <w:shd w:val="clear" w:color="auto" w:fill="D9D9D9" w:themeFill="background1" w:themeFillShade="D9"/>
          </w:tcPr>
          <w:p w14:paraId="2DB9CFC1" w14:textId="7413973A" w:rsidR="00D60B76" w:rsidRPr="004936F0" w:rsidRDefault="00D60B76" w:rsidP="001C163E">
            <w:pPr>
              <w:spacing w:before="40" w:after="40"/>
              <w:rPr>
                <w:b/>
                <w:bCs/>
              </w:rPr>
            </w:pPr>
            <w:r w:rsidRPr="004936F0">
              <w:rPr>
                <w:b/>
                <w:bCs/>
                <w:color w:val="000000"/>
              </w:rPr>
              <w:t>10</w:t>
            </w:r>
          </w:p>
        </w:tc>
        <w:tc>
          <w:tcPr>
            <w:tcW w:w="1696" w:type="dxa"/>
          </w:tcPr>
          <w:p w14:paraId="4C63EB2A" w14:textId="0ACE4A80" w:rsidR="00D60B76" w:rsidRPr="00D60B76" w:rsidRDefault="00D60B76" w:rsidP="001C163E">
            <w:pPr>
              <w:spacing w:before="40" w:after="40"/>
              <w:rPr>
                <w:color w:val="333333"/>
              </w:rPr>
            </w:pPr>
            <w:r w:rsidRPr="00D60B76">
              <w:t xml:space="preserve">1.4 </w:t>
            </w:r>
          </w:p>
        </w:tc>
        <w:tc>
          <w:tcPr>
            <w:tcW w:w="717" w:type="dxa"/>
          </w:tcPr>
          <w:p w14:paraId="3041921C" w14:textId="270CBD89" w:rsidR="00D60B76" w:rsidRPr="00D60B76" w:rsidRDefault="00D60B76" w:rsidP="001C163E">
            <w:pPr>
              <w:spacing w:before="40" w:after="40"/>
              <w:rPr>
                <w:color w:val="333333"/>
              </w:rPr>
            </w:pPr>
            <w:r w:rsidRPr="00D60B76">
              <w:t>12</w:t>
            </w:r>
          </w:p>
        </w:tc>
        <w:tc>
          <w:tcPr>
            <w:tcW w:w="5670" w:type="dxa"/>
          </w:tcPr>
          <w:p w14:paraId="30E2130F" w14:textId="50FA13F2" w:rsidR="00D60B76" w:rsidRPr="00D60B76" w:rsidRDefault="00D60B76" w:rsidP="007B6532">
            <w:pPr>
              <w:spacing w:before="40" w:after="40"/>
              <w:jc w:val="both"/>
            </w:pPr>
            <w:r w:rsidRPr="00D60B76">
              <w:t xml:space="preserve">Separate from the employer data used for modeling, has the Department secured the state employer data needed to launch the program, including the necessary data points such as FEIN, address, email, and number of reported employees? </w:t>
            </w:r>
          </w:p>
        </w:tc>
        <w:tc>
          <w:tcPr>
            <w:tcW w:w="5760" w:type="dxa"/>
            <w:shd w:val="clear" w:color="auto" w:fill="auto"/>
          </w:tcPr>
          <w:p w14:paraId="4E221D69" w14:textId="12DEF172" w:rsidR="00D60B76" w:rsidRPr="00D60B76" w:rsidRDefault="00D60B76" w:rsidP="007B6532">
            <w:pPr>
              <w:spacing w:before="40" w:after="40"/>
              <w:jc w:val="both"/>
              <w:rPr>
                <w:b/>
              </w:rPr>
            </w:pPr>
            <w:r w:rsidRPr="00D60B76">
              <w:rPr>
                <w:b/>
              </w:rPr>
              <w:t>This work is in process. The Program expects to provide the needed data.</w:t>
            </w:r>
          </w:p>
          <w:p w14:paraId="5C047C47" w14:textId="77777777" w:rsidR="00D60B76" w:rsidRPr="00D60B76" w:rsidRDefault="00D60B76" w:rsidP="007B6532">
            <w:pPr>
              <w:spacing w:before="40" w:after="40"/>
              <w:jc w:val="both"/>
              <w:rPr>
                <w:b/>
              </w:rPr>
            </w:pPr>
          </w:p>
          <w:p w14:paraId="6C01EE01" w14:textId="1C1616BF" w:rsidR="00D60B76" w:rsidRPr="00D60B76" w:rsidRDefault="00D60B76" w:rsidP="007B6532">
            <w:pPr>
              <w:spacing w:before="40" w:after="40"/>
              <w:jc w:val="both"/>
            </w:pPr>
          </w:p>
        </w:tc>
      </w:tr>
      <w:tr w:rsidR="00D60B76" w:rsidRPr="004936F0" w14:paraId="58E3DC9A" w14:textId="44B255FB" w:rsidTr="00D60B76">
        <w:tc>
          <w:tcPr>
            <w:tcW w:w="462" w:type="dxa"/>
            <w:shd w:val="clear" w:color="auto" w:fill="D9D9D9" w:themeFill="background1" w:themeFillShade="D9"/>
          </w:tcPr>
          <w:p w14:paraId="2BB67BCE" w14:textId="2E9D945E" w:rsidR="00D60B76" w:rsidRPr="004936F0" w:rsidRDefault="00D60B76" w:rsidP="001C163E">
            <w:pPr>
              <w:spacing w:before="40" w:after="40"/>
              <w:rPr>
                <w:b/>
                <w:bCs/>
              </w:rPr>
            </w:pPr>
            <w:r w:rsidRPr="004936F0">
              <w:rPr>
                <w:b/>
                <w:bCs/>
                <w:color w:val="000000"/>
              </w:rPr>
              <w:t>11</w:t>
            </w:r>
          </w:p>
        </w:tc>
        <w:tc>
          <w:tcPr>
            <w:tcW w:w="1696" w:type="dxa"/>
          </w:tcPr>
          <w:p w14:paraId="12B85B51" w14:textId="4DE8D0D9" w:rsidR="00D60B76" w:rsidRPr="00D60B76" w:rsidRDefault="00D60B76" w:rsidP="001C163E">
            <w:pPr>
              <w:pStyle w:val="TableParagraph"/>
              <w:spacing w:before="40" w:after="40"/>
              <w:ind w:right="130"/>
              <w:rPr>
                <w:color w:val="333333"/>
              </w:rPr>
            </w:pPr>
            <w:r w:rsidRPr="00D60B76">
              <w:rPr>
                <w:color w:val="252525"/>
              </w:rPr>
              <w:t>1.4 Program Estimates and Potential Market</w:t>
            </w:r>
          </w:p>
        </w:tc>
        <w:tc>
          <w:tcPr>
            <w:tcW w:w="717" w:type="dxa"/>
          </w:tcPr>
          <w:p w14:paraId="4593DEDC" w14:textId="707D5EB1" w:rsidR="00D60B76" w:rsidRPr="00D60B76" w:rsidRDefault="00D60B76" w:rsidP="001C163E">
            <w:pPr>
              <w:spacing w:before="40" w:after="40"/>
              <w:rPr>
                <w:color w:val="333333"/>
              </w:rPr>
            </w:pPr>
            <w:r w:rsidRPr="00D60B76">
              <w:rPr>
                <w:color w:val="252525"/>
              </w:rPr>
              <w:t xml:space="preserve">12 </w:t>
            </w:r>
            <w:r w:rsidRPr="00D60B76">
              <w:t xml:space="preserve">– </w:t>
            </w:r>
            <w:r w:rsidRPr="00D60B76">
              <w:rPr>
                <w:color w:val="252525"/>
              </w:rPr>
              <w:t>14</w:t>
            </w:r>
          </w:p>
        </w:tc>
        <w:tc>
          <w:tcPr>
            <w:tcW w:w="5670" w:type="dxa"/>
          </w:tcPr>
          <w:p w14:paraId="342DB886" w14:textId="2FFB013E" w:rsidR="00D60B76" w:rsidRPr="00D60B76" w:rsidRDefault="00D60B76" w:rsidP="007B6532">
            <w:pPr>
              <w:spacing w:before="40" w:after="40"/>
              <w:jc w:val="both"/>
              <w:rPr>
                <w:color w:val="333333"/>
              </w:rPr>
            </w:pPr>
            <w:r w:rsidRPr="00D60B76">
              <w:rPr>
                <w:color w:val="252525"/>
              </w:rPr>
              <w:t>The program’s authorizing statute references that the board shall “determine enforcement of penalties.” Is the current intent to partner with another state agency on efforts specific to enforcing employer compliance with the program’s mandate?</w:t>
            </w:r>
          </w:p>
        </w:tc>
        <w:tc>
          <w:tcPr>
            <w:tcW w:w="5760" w:type="dxa"/>
            <w:shd w:val="clear" w:color="auto" w:fill="auto"/>
          </w:tcPr>
          <w:p w14:paraId="52C0D815" w14:textId="30CD8520" w:rsidR="00D60B76" w:rsidRPr="00D60B76" w:rsidRDefault="00D60B76" w:rsidP="007B6532">
            <w:pPr>
              <w:spacing w:before="40" w:after="40"/>
              <w:jc w:val="both"/>
            </w:pPr>
            <w:r w:rsidRPr="00D60B76">
              <w:rPr>
                <w:b/>
              </w:rPr>
              <w:t>See Answer to Question #9.</w:t>
            </w:r>
          </w:p>
          <w:p w14:paraId="590CBE0D" w14:textId="29FDD29D" w:rsidR="00D60B76" w:rsidRPr="00D60B76" w:rsidRDefault="00D60B76" w:rsidP="007B6532">
            <w:pPr>
              <w:spacing w:before="40" w:after="40"/>
              <w:jc w:val="both"/>
              <w:rPr>
                <w:b/>
                <w:bCs/>
              </w:rPr>
            </w:pPr>
          </w:p>
        </w:tc>
      </w:tr>
      <w:tr w:rsidR="00D60B76" w:rsidRPr="004936F0" w14:paraId="1B6DC710" w14:textId="7BE16639" w:rsidTr="00D60B76">
        <w:tc>
          <w:tcPr>
            <w:tcW w:w="462" w:type="dxa"/>
            <w:shd w:val="clear" w:color="auto" w:fill="D9D9D9" w:themeFill="background1" w:themeFillShade="D9"/>
          </w:tcPr>
          <w:p w14:paraId="3892DEA8" w14:textId="6E519D35" w:rsidR="00D60B76" w:rsidRPr="004936F0" w:rsidRDefault="00D60B76" w:rsidP="001C163E">
            <w:pPr>
              <w:spacing w:before="40" w:after="40"/>
              <w:rPr>
                <w:b/>
                <w:bCs/>
              </w:rPr>
            </w:pPr>
            <w:r w:rsidRPr="004936F0">
              <w:rPr>
                <w:b/>
                <w:bCs/>
                <w:color w:val="000000"/>
              </w:rPr>
              <w:t>12</w:t>
            </w:r>
          </w:p>
        </w:tc>
        <w:tc>
          <w:tcPr>
            <w:tcW w:w="1696" w:type="dxa"/>
          </w:tcPr>
          <w:p w14:paraId="75749D48" w14:textId="08E111F5" w:rsidR="00D60B76" w:rsidRPr="00D60B76" w:rsidRDefault="00D60B76" w:rsidP="001C163E">
            <w:pPr>
              <w:spacing w:before="40" w:after="40"/>
              <w:rPr>
                <w:color w:val="333333"/>
              </w:rPr>
            </w:pPr>
            <w:r w:rsidRPr="00D60B76">
              <w:rPr>
                <w:color w:val="252525"/>
              </w:rPr>
              <w:t>1.4 Program Estimates and Potential Market</w:t>
            </w:r>
          </w:p>
        </w:tc>
        <w:tc>
          <w:tcPr>
            <w:tcW w:w="717" w:type="dxa"/>
          </w:tcPr>
          <w:p w14:paraId="15C2D396" w14:textId="53B463B1" w:rsidR="00D60B76" w:rsidRPr="00D60B76" w:rsidRDefault="00D60B76" w:rsidP="001C163E">
            <w:pPr>
              <w:spacing w:before="40" w:after="40"/>
              <w:rPr>
                <w:color w:val="333333"/>
              </w:rPr>
            </w:pPr>
            <w:r w:rsidRPr="00D60B76">
              <w:rPr>
                <w:color w:val="252525"/>
              </w:rPr>
              <w:t xml:space="preserve">12 </w:t>
            </w:r>
            <w:r w:rsidRPr="00D60B76">
              <w:t xml:space="preserve">– </w:t>
            </w:r>
            <w:r w:rsidRPr="00D60B76">
              <w:rPr>
                <w:color w:val="252525"/>
              </w:rPr>
              <w:t>14</w:t>
            </w:r>
          </w:p>
        </w:tc>
        <w:tc>
          <w:tcPr>
            <w:tcW w:w="5670" w:type="dxa"/>
          </w:tcPr>
          <w:p w14:paraId="0A546986" w14:textId="52029DA5" w:rsidR="00D60B76" w:rsidRPr="00D60B76" w:rsidRDefault="00D60B76" w:rsidP="007B6532">
            <w:pPr>
              <w:pStyle w:val="TableParagraph"/>
              <w:spacing w:before="40" w:after="40"/>
              <w:ind w:right="197"/>
              <w:jc w:val="both"/>
              <w:rPr>
                <w:color w:val="333333"/>
              </w:rPr>
            </w:pPr>
            <w:r w:rsidRPr="00D60B76">
              <w:rPr>
                <w:color w:val="252525"/>
              </w:rPr>
              <w:t>Reliable employer data (including, but not limited to, firm contact information, expected employee counts, etc.) is critical to successful Auto-IRA program administration and growth. Has the State identified and contracted with a partner agency for receipt of both initial data, and subsequent annual updates?</w:t>
            </w:r>
          </w:p>
        </w:tc>
        <w:tc>
          <w:tcPr>
            <w:tcW w:w="5760" w:type="dxa"/>
            <w:shd w:val="clear" w:color="auto" w:fill="auto"/>
          </w:tcPr>
          <w:p w14:paraId="44E78163" w14:textId="77777777" w:rsidR="00D60B76" w:rsidRPr="00D60B76" w:rsidRDefault="00D60B76" w:rsidP="007B6532">
            <w:pPr>
              <w:spacing w:before="40" w:after="40"/>
              <w:jc w:val="both"/>
              <w:rPr>
                <w:b/>
              </w:rPr>
            </w:pPr>
            <w:r w:rsidRPr="00D60B76">
              <w:rPr>
                <w:b/>
              </w:rPr>
              <w:t>See Answer to Question #10.</w:t>
            </w:r>
          </w:p>
          <w:p w14:paraId="636100EF" w14:textId="09858783" w:rsidR="00D60B76" w:rsidRPr="00D60B76" w:rsidRDefault="00D60B76" w:rsidP="007B6532">
            <w:pPr>
              <w:spacing w:before="40" w:after="40"/>
              <w:jc w:val="both"/>
              <w:rPr>
                <w:b/>
                <w:bCs/>
              </w:rPr>
            </w:pPr>
          </w:p>
        </w:tc>
      </w:tr>
      <w:tr w:rsidR="00D60B76" w:rsidRPr="004936F0" w14:paraId="20CEA536" w14:textId="685070A3" w:rsidTr="00D60B76">
        <w:tc>
          <w:tcPr>
            <w:tcW w:w="462" w:type="dxa"/>
            <w:shd w:val="clear" w:color="auto" w:fill="D9D9D9" w:themeFill="background1" w:themeFillShade="D9"/>
          </w:tcPr>
          <w:p w14:paraId="5D7A7C6A" w14:textId="4C08E9E6" w:rsidR="00D60B76" w:rsidRPr="004936F0" w:rsidRDefault="00D60B76" w:rsidP="001C163E">
            <w:pPr>
              <w:spacing w:before="40" w:after="40"/>
              <w:rPr>
                <w:b/>
                <w:bCs/>
              </w:rPr>
            </w:pPr>
            <w:r w:rsidRPr="004936F0">
              <w:rPr>
                <w:b/>
                <w:bCs/>
                <w:color w:val="000000"/>
              </w:rPr>
              <w:lastRenderedPageBreak/>
              <w:t>13</w:t>
            </w:r>
          </w:p>
        </w:tc>
        <w:tc>
          <w:tcPr>
            <w:tcW w:w="1696" w:type="dxa"/>
          </w:tcPr>
          <w:p w14:paraId="3F03D2E9" w14:textId="0A531423" w:rsidR="00D60B76" w:rsidRPr="00D60B76" w:rsidRDefault="00D60B76" w:rsidP="001C163E">
            <w:pPr>
              <w:spacing w:before="40" w:after="40"/>
              <w:rPr>
                <w:color w:val="333333"/>
              </w:rPr>
            </w:pPr>
            <w:r w:rsidRPr="00D60B76">
              <w:t>2.1.1.1. Program Administration Services Requirements</w:t>
            </w:r>
          </w:p>
        </w:tc>
        <w:tc>
          <w:tcPr>
            <w:tcW w:w="717" w:type="dxa"/>
          </w:tcPr>
          <w:p w14:paraId="10BF1DC6" w14:textId="30383AD6" w:rsidR="00D60B76" w:rsidRPr="00D60B76" w:rsidRDefault="00D60B76" w:rsidP="001C163E">
            <w:pPr>
              <w:spacing w:before="40" w:after="40"/>
              <w:rPr>
                <w:color w:val="333333"/>
              </w:rPr>
            </w:pPr>
            <w:r w:rsidRPr="00D60B76">
              <w:t>15</w:t>
            </w:r>
          </w:p>
        </w:tc>
        <w:tc>
          <w:tcPr>
            <w:tcW w:w="5670" w:type="dxa"/>
          </w:tcPr>
          <w:p w14:paraId="2428D9EE" w14:textId="00DE4222" w:rsidR="00D60B76" w:rsidRPr="00D60B76" w:rsidRDefault="00D60B76" w:rsidP="007B6532">
            <w:pPr>
              <w:spacing w:before="40" w:after="40"/>
              <w:jc w:val="both"/>
              <w:rPr>
                <w:color w:val="333333"/>
              </w:rPr>
            </w:pPr>
            <w:r w:rsidRPr="00D60B76">
              <w:t>What does the State consider “program design elements”? If investment-related issues are considered part of the Program’s design elements, [Potential Bidder] would not be able to provide those recommendations.</w:t>
            </w:r>
          </w:p>
        </w:tc>
        <w:tc>
          <w:tcPr>
            <w:tcW w:w="5760" w:type="dxa"/>
            <w:shd w:val="clear" w:color="auto" w:fill="auto"/>
          </w:tcPr>
          <w:p w14:paraId="4E3D4D63" w14:textId="632A910A" w:rsidR="00D60B76" w:rsidRPr="00D60B76" w:rsidRDefault="00D60B76" w:rsidP="007B6532">
            <w:pPr>
              <w:spacing w:before="40" w:after="40"/>
              <w:jc w:val="both"/>
              <w:rPr>
                <w:b/>
                <w:bCs/>
              </w:rPr>
            </w:pPr>
            <w:r w:rsidRPr="00D60B76">
              <w:rPr>
                <w:b/>
                <w:bCs/>
              </w:rPr>
              <w:t>The Program Administrator is not expected to provide recommendations on the investment options offered.</w:t>
            </w:r>
          </w:p>
        </w:tc>
      </w:tr>
      <w:tr w:rsidR="00D60B76" w:rsidRPr="004936F0" w14:paraId="230B2C13" w14:textId="5CEFA3BE" w:rsidTr="00D60B76">
        <w:tc>
          <w:tcPr>
            <w:tcW w:w="462" w:type="dxa"/>
            <w:shd w:val="clear" w:color="auto" w:fill="D9D9D9" w:themeFill="background1" w:themeFillShade="D9"/>
          </w:tcPr>
          <w:p w14:paraId="32A4BEB7" w14:textId="0D01E8E9" w:rsidR="00D60B76" w:rsidRPr="004936F0" w:rsidRDefault="00D60B76" w:rsidP="001C163E">
            <w:pPr>
              <w:spacing w:before="40" w:after="40"/>
              <w:rPr>
                <w:b/>
                <w:bCs/>
              </w:rPr>
            </w:pPr>
            <w:r w:rsidRPr="004936F0">
              <w:rPr>
                <w:b/>
                <w:bCs/>
                <w:color w:val="000000"/>
              </w:rPr>
              <w:t>14</w:t>
            </w:r>
          </w:p>
        </w:tc>
        <w:tc>
          <w:tcPr>
            <w:tcW w:w="1696" w:type="dxa"/>
          </w:tcPr>
          <w:p w14:paraId="753551DC" w14:textId="512E7CD6" w:rsidR="00D60B76" w:rsidRPr="00D60B76" w:rsidRDefault="00D60B76" w:rsidP="001C163E">
            <w:pPr>
              <w:spacing w:before="40" w:after="40"/>
              <w:rPr>
                <w:color w:val="333333"/>
              </w:rPr>
            </w:pPr>
            <w:r w:rsidRPr="00D60B76">
              <w:t>2.1.1.2</w:t>
            </w:r>
          </w:p>
        </w:tc>
        <w:tc>
          <w:tcPr>
            <w:tcW w:w="717" w:type="dxa"/>
          </w:tcPr>
          <w:p w14:paraId="19926DE5" w14:textId="7F77F0FC" w:rsidR="00D60B76" w:rsidRPr="00D60B76" w:rsidRDefault="00D60B76" w:rsidP="001C163E">
            <w:pPr>
              <w:spacing w:before="40" w:after="40"/>
              <w:rPr>
                <w:color w:val="333333"/>
              </w:rPr>
            </w:pPr>
            <w:r w:rsidRPr="00D60B76">
              <w:t>15</w:t>
            </w:r>
          </w:p>
        </w:tc>
        <w:tc>
          <w:tcPr>
            <w:tcW w:w="5670" w:type="dxa"/>
          </w:tcPr>
          <w:p w14:paraId="777CF834" w14:textId="24DC116B" w:rsidR="00D60B76" w:rsidRPr="00D60B76" w:rsidRDefault="00D60B76" w:rsidP="007B6532">
            <w:pPr>
              <w:spacing w:before="40" w:after="40"/>
              <w:jc w:val="both"/>
            </w:pPr>
            <w:r w:rsidRPr="00D60B76">
              <w:t xml:space="preserve">We cannot agree to a provision that would allow the Department to screen and approve or deny key personnel. </w:t>
            </w:r>
          </w:p>
        </w:tc>
        <w:tc>
          <w:tcPr>
            <w:tcW w:w="5760" w:type="dxa"/>
            <w:shd w:val="clear" w:color="auto" w:fill="auto"/>
          </w:tcPr>
          <w:p w14:paraId="104ADCF4" w14:textId="631637EA" w:rsidR="00D60B76" w:rsidRPr="00D60B76" w:rsidRDefault="00D60B76" w:rsidP="007B6532">
            <w:pPr>
              <w:spacing w:before="40" w:after="40"/>
              <w:jc w:val="both"/>
            </w:pPr>
            <w:r w:rsidRPr="00D60B76">
              <w:rPr>
                <w:b/>
                <w:bCs/>
              </w:rPr>
              <w:t xml:space="preserve">See Amendment #1. </w:t>
            </w:r>
          </w:p>
        </w:tc>
      </w:tr>
      <w:tr w:rsidR="00D60B76" w:rsidRPr="004936F0" w14:paraId="3C06BF64" w14:textId="20194413" w:rsidTr="00D60B76">
        <w:tc>
          <w:tcPr>
            <w:tcW w:w="462" w:type="dxa"/>
            <w:shd w:val="clear" w:color="auto" w:fill="D9D9D9" w:themeFill="background1" w:themeFillShade="D9"/>
          </w:tcPr>
          <w:p w14:paraId="7EA6878D" w14:textId="1D50E9A5" w:rsidR="00D60B76" w:rsidRPr="004936F0" w:rsidRDefault="00D60B76" w:rsidP="001C163E">
            <w:pPr>
              <w:spacing w:before="40" w:after="40"/>
              <w:rPr>
                <w:b/>
                <w:bCs/>
              </w:rPr>
            </w:pPr>
            <w:r w:rsidRPr="004936F0">
              <w:rPr>
                <w:b/>
                <w:bCs/>
                <w:color w:val="000000"/>
              </w:rPr>
              <w:t>15</w:t>
            </w:r>
          </w:p>
        </w:tc>
        <w:tc>
          <w:tcPr>
            <w:tcW w:w="1696" w:type="dxa"/>
          </w:tcPr>
          <w:p w14:paraId="55AB2455" w14:textId="345FC4B9" w:rsidR="00D60B76" w:rsidRPr="00D60B76" w:rsidRDefault="00D60B76" w:rsidP="001C163E">
            <w:pPr>
              <w:spacing w:before="40" w:after="40"/>
              <w:rPr>
                <w:color w:val="333333"/>
              </w:rPr>
            </w:pPr>
            <w:r w:rsidRPr="00D60B76">
              <w:t>2.1.1.3. Program Administration Services Requirements</w:t>
            </w:r>
          </w:p>
        </w:tc>
        <w:tc>
          <w:tcPr>
            <w:tcW w:w="717" w:type="dxa"/>
          </w:tcPr>
          <w:p w14:paraId="219DB150" w14:textId="590AB357" w:rsidR="00D60B76" w:rsidRPr="00D60B76" w:rsidRDefault="00D60B76" w:rsidP="001C163E">
            <w:pPr>
              <w:spacing w:before="40" w:after="40"/>
              <w:rPr>
                <w:color w:val="333333"/>
              </w:rPr>
            </w:pPr>
            <w:r w:rsidRPr="00D60B76">
              <w:t>16</w:t>
            </w:r>
          </w:p>
        </w:tc>
        <w:tc>
          <w:tcPr>
            <w:tcW w:w="5670" w:type="dxa"/>
          </w:tcPr>
          <w:p w14:paraId="27DBE80E" w14:textId="77777777" w:rsidR="00D60B76" w:rsidRPr="00D60B76" w:rsidRDefault="00D60B76" w:rsidP="007B6532">
            <w:pPr>
              <w:spacing w:before="40" w:after="40"/>
              <w:jc w:val="both"/>
            </w:pPr>
            <w:r w:rsidRPr="00D60B76">
              <w:t>Can the State clarify exactly what the language requirements are? What is the definition of “...to the extent able and proposed”?</w:t>
            </w:r>
          </w:p>
          <w:p w14:paraId="0125D5BA" w14:textId="473182DD" w:rsidR="00D60B76" w:rsidRPr="00D60B76" w:rsidRDefault="00D60B76" w:rsidP="007B6532">
            <w:pPr>
              <w:spacing w:before="40" w:after="40"/>
              <w:jc w:val="both"/>
              <w:rPr>
                <w:color w:val="333333"/>
              </w:rPr>
            </w:pPr>
          </w:p>
        </w:tc>
        <w:tc>
          <w:tcPr>
            <w:tcW w:w="5760" w:type="dxa"/>
            <w:shd w:val="clear" w:color="auto" w:fill="auto"/>
          </w:tcPr>
          <w:p w14:paraId="7686CA42" w14:textId="630E6FEE" w:rsidR="00D60B76" w:rsidRPr="00D60B76" w:rsidRDefault="00D60B76" w:rsidP="007B6532">
            <w:pPr>
              <w:spacing w:before="40" w:after="40"/>
              <w:jc w:val="both"/>
              <w:rPr>
                <w:b/>
                <w:bCs/>
              </w:rPr>
            </w:pPr>
            <w:r w:rsidRPr="00D60B76">
              <w:rPr>
                <w:b/>
                <w:bCs/>
              </w:rPr>
              <w:t>Bidder is expected to produce all required Program Informational Materials in, at a minimum, English and Spanish. If Bidder proposes to produce Informational Materials in any additional languages required by Executive Law 202-A, Bidder should make clear which additional languages and provide all details requested in response to Section 4.2.1.7.</w:t>
            </w:r>
          </w:p>
          <w:p w14:paraId="2384E30A" w14:textId="42D703A9" w:rsidR="00D60B76" w:rsidRPr="00D60B76" w:rsidRDefault="00D60B76" w:rsidP="007B6532">
            <w:pPr>
              <w:spacing w:before="40" w:after="40"/>
              <w:jc w:val="both"/>
              <w:rPr>
                <w:b/>
                <w:bCs/>
              </w:rPr>
            </w:pPr>
            <w:r w:rsidRPr="00D60B76">
              <w:rPr>
                <w:b/>
                <w:bCs/>
              </w:rPr>
              <w:t>Proposing additional languages will be taken into consideration in the technical evaluation.</w:t>
            </w:r>
          </w:p>
        </w:tc>
      </w:tr>
      <w:tr w:rsidR="00D60B76" w:rsidRPr="004936F0" w14:paraId="4D1CB21F" w14:textId="57C70190" w:rsidTr="00D60B76">
        <w:tc>
          <w:tcPr>
            <w:tcW w:w="462" w:type="dxa"/>
            <w:shd w:val="clear" w:color="auto" w:fill="D9D9D9" w:themeFill="background1" w:themeFillShade="D9"/>
          </w:tcPr>
          <w:p w14:paraId="69E92C9D" w14:textId="44201EDB" w:rsidR="00D60B76" w:rsidRPr="004936F0" w:rsidRDefault="00D60B76" w:rsidP="001C163E">
            <w:pPr>
              <w:spacing w:before="40" w:after="40"/>
              <w:rPr>
                <w:b/>
                <w:bCs/>
              </w:rPr>
            </w:pPr>
            <w:r w:rsidRPr="004936F0">
              <w:rPr>
                <w:b/>
                <w:bCs/>
                <w:color w:val="000000"/>
              </w:rPr>
              <w:t>16</w:t>
            </w:r>
          </w:p>
        </w:tc>
        <w:tc>
          <w:tcPr>
            <w:tcW w:w="1696" w:type="dxa"/>
          </w:tcPr>
          <w:p w14:paraId="31617DEB" w14:textId="32175A2B" w:rsidR="00D60B76" w:rsidRPr="00D60B76" w:rsidRDefault="00D60B76" w:rsidP="001C163E">
            <w:pPr>
              <w:spacing w:before="40" w:after="40"/>
              <w:rPr>
                <w:color w:val="333333"/>
              </w:rPr>
            </w:pPr>
            <w:r w:rsidRPr="00D60B76">
              <w:t>2.1.1.4. Program Administration Services Requirements</w:t>
            </w:r>
          </w:p>
        </w:tc>
        <w:tc>
          <w:tcPr>
            <w:tcW w:w="717" w:type="dxa"/>
          </w:tcPr>
          <w:p w14:paraId="04287605" w14:textId="44EAE64F" w:rsidR="00D60B76" w:rsidRPr="00D60B76" w:rsidRDefault="00D60B76" w:rsidP="001C163E">
            <w:pPr>
              <w:spacing w:before="40" w:after="40"/>
              <w:rPr>
                <w:color w:val="333333"/>
              </w:rPr>
            </w:pPr>
            <w:r w:rsidRPr="00D60B76">
              <w:t>16</w:t>
            </w:r>
          </w:p>
        </w:tc>
        <w:tc>
          <w:tcPr>
            <w:tcW w:w="5670" w:type="dxa"/>
          </w:tcPr>
          <w:p w14:paraId="18B93566" w14:textId="3D81DC4F" w:rsidR="00D60B76" w:rsidRPr="00D60B76" w:rsidRDefault="00D60B76" w:rsidP="007B6532">
            <w:pPr>
              <w:spacing w:before="40" w:after="40"/>
              <w:jc w:val="both"/>
              <w:rPr>
                <w:color w:val="333333"/>
              </w:rPr>
            </w:pPr>
            <w:r w:rsidRPr="00D60B76">
              <w:t>With a Starter K, the employer would have access to most of this information but the State would not. Would the State be okay with not having access to this type of information?</w:t>
            </w:r>
          </w:p>
        </w:tc>
        <w:tc>
          <w:tcPr>
            <w:tcW w:w="5760" w:type="dxa"/>
            <w:shd w:val="clear" w:color="auto" w:fill="auto"/>
          </w:tcPr>
          <w:p w14:paraId="56AA944A" w14:textId="2FF6483C" w:rsidR="00D60B76" w:rsidRDefault="00D60B76" w:rsidP="007B6532">
            <w:pPr>
              <w:spacing w:before="40" w:after="40"/>
              <w:jc w:val="both"/>
              <w:rPr>
                <w:b/>
                <w:bCs/>
              </w:rPr>
            </w:pPr>
            <w:r w:rsidRPr="00D60B76">
              <w:rPr>
                <w:b/>
                <w:bCs/>
              </w:rPr>
              <w:t>See Answer to Question #4.</w:t>
            </w:r>
          </w:p>
          <w:p w14:paraId="163DEB68" w14:textId="77777777" w:rsidR="00BE08E0" w:rsidRPr="00D60B76" w:rsidRDefault="00BE08E0" w:rsidP="007B6532">
            <w:pPr>
              <w:spacing w:before="40" w:after="40"/>
              <w:jc w:val="both"/>
              <w:rPr>
                <w:b/>
                <w:bCs/>
              </w:rPr>
            </w:pPr>
          </w:p>
          <w:p w14:paraId="1442434E" w14:textId="6EDBD6C1" w:rsidR="00D60B76" w:rsidRPr="00D60B76" w:rsidRDefault="00D60B76" w:rsidP="007B6532">
            <w:pPr>
              <w:spacing w:before="40" w:after="40"/>
              <w:jc w:val="both"/>
              <w:rPr>
                <w:b/>
                <w:bCs/>
              </w:rPr>
            </w:pPr>
            <w:r w:rsidRPr="00D60B76">
              <w:rPr>
                <w:b/>
                <w:bCs/>
              </w:rPr>
              <w:t>The New York State Secure Choice Savings Program is a state-sponsored retirement savings program. The Program must be provided with the information.</w:t>
            </w:r>
          </w:p>
        </w:tc>
      </w:tr>
      <w:tr w:rsidR="00D60B76" w:rsidRPr="004936F0" w14:paraId="3FD75564" w14:textId="2883AD3D" w:rsidTr="00D60B76">
        <w:tc>
          <w:tcPr>
            <w:tcW w:w="462" w:type="dxa"/>
            <w:shd w:val="clear" w:color="auto" w:fill="D9D9D9" w:themeFill="background1" w:themeFillShade="D9"/>
          </w:tcPr>
          <w:p w14:paraId="60EA1E3C" w14:textId="100C2F41" w:rsidR="00D60B76" w:rsidRPr="004936F0" w:rsidRDefault="00D60B76" w:rsidP="001C163E">
            <w:pPr>
              <w:spacing w:before="40" w:after="40"/>
              <w:rPr>
                <w:b/>
                <w:bCs/>
              </w:rPr>
            </w:pPr>
            <w:r>
              <w:rPr>
                <w:b/>
                <w:bCs/>
                <w:color w:val="000000"/>
              </w:rPr>
              <w:t>1</w:t>
            </w:r>
            <w:r w:rsidRPr="004936F0">
              <w:rPr>
                <w:b/>
                <w:bCs/>
                <w:color w:val="000000"/>
              </w:rPr>
              <w:t>7</w:t>
            </w:r>
          </w:p>
        </w:tc>
        <w:tc>
          <w:tcPr>
            <w:tcW w:w="1696" w:type="dxa"/>
          </w:tcPr>
          <w:p w14:paraId="1096CEDF" w14:textId="24FB6381" w:rsidR="00D60B76" w:rsidRPr="00D60B76" w:rsidRDefault="00D60B76" w:rsidP="001C163E">
            <w:pPr>
              <w:spacing w:before="40" w:after="40"/>
              <w:rPr>
                <w:color w:val="333333"/>
              </w:rPr>
            </w:pPr>
            <w:r w:rsidRPr="00D60B76">
              <w:t>2.1.1.5</w:t>
            </w:r>
          </w:p>
        </w:tc>
        <w:tc>
          <w:tcPr>
            <w:tcW w:w="717" w:type="dxa"/>
          </w:tcPr>
          <w:p w14:paraId="048B0A25" w14:textId="5B25130B" w:rsidR="00D60B76" w:rsidRPr="00D60B76" w:rsidRDefault="00D60B76" w:rsidP="001C163E">
            <w:pPr>
              <w:spacing w:before="40" w:after="40"/>
              <w:rPr>
                <w:color w:val="333333"/>
              </w:rPr>
            </w:pPr>
            <w:r w:rsidRPr="00D60B76">
              <w:t>16</w:t>
            </w:r>
          </w:p>
        </w:tc>
        <w:tc>
          <w:tcPr>
            <w:tcW w:w="5670" w:type="dxa"/>
          </w:tcPr>
          <w:p w14:paraId="552F566B" w14:textId="35A40C6E" w:rsidR="00D60B76" w:rsidRPr="00D60B76" w:rsidRDefault="00D60B76" w:rsidP="007B6532">
            <w:pPr>
              <w:spacing w:before="40" w:after="40"/>
              <w:jc w:val="both"/>
              <w:rPr>
                <w:color w:val="333333"/>
              </w:rPr>
            </w:pPr>
            <w:r w:rsidRPr="00D60B76">
              <w:t>Is the expectation that the Program Administrator or the Department will pay the annual cost of hiring the independent auditor?</w:t>
            </w:r>
          </w:p>
        </w:tc>
        <w:tc>
          <w:tcPr>
            <w:tcW w:w="5760" w:type="dxa"/>
            <w:shd w:val="clear" w:color="auto" w:fill="auto"/>
          </w:tcPr>
          <w:p w14:paraId="141334A5" w14:textId="18089A9D" w:rsidR="00D60B76" w:rsidRPr="00D60B76" w:rsidRDefault="00D60B76" w:rsidP="007B6532">
            <w:pPr>
              <w:spacing w:before="40" w:after="40"/>
              <w:jc w:val="both"/>
              <w:rPr>
                <w:b/>
                <w:bCs/>
              </w:rPr>
            </w:pPr>
            <w:r w:rsidRPr="00D60B76">
              <w:rPr>
                <w:b/>
                <w:bCs/>
              </w:rPr>
              <w:t xml:space="preserve">This is expected to be a cost to the Program Administrator.  </w:t>
            </w:r>
          </w:p>
        </w:tc>
      </w:tr>
      <w:tr w:rsidR="00D60B76" w:rsidRPr="004936F0" w14:paraId="6B78AD1B" w14:textId="4CC90478" w:rsidTr="00D60B76">
        <w:tc>
          <w:tcPr>
            <w:tcW w:w="462" w:type="dxa"/>
            <w:shd w:val="clear" w:color="auto" w:fill="D9D9D9" w:themeFill="background1" w:themeFillShade="D9"/>
          </w:tcPr>
          <w:p w14:paraId="42F3A0B0" w14:textId="5719ABBC" w:rsidR="00D60B76" w:rsidRPr="004936F0" w:rsidRDefault="00D60B76" w:rsidP="001C163E">
            <w:pPr>
              <w:spacing w:before="40" w:after="40"/>
              <w:rPr>
                <w:b/>
                <w:bCs/>
              </w:rPr>
            </w:pPr>
            <w:r w:rsidRPr="004936F0">
              <w:rPr>
                <w:b/>
                <w:bCs/>
                <w:color w:val="000000"/>
              </w:rPr>
              <w:t>18</w:t>
            </w:r>
          </w:p>
        </w:tc>
        <w:tc>
          <w:tcPr>
            <w:tcW w:w="1696" w:type="dxa"/>
          </w:tcPr>
          <w:p w14:paraId="17686518" w14:textId="7609EEFB" w:rsidR="00D60B76" w:rsidRPr="00D60B76" w:rsidRDefault="00D60B76" w:rsidP="001C163E">
            <w:pPr>
              <w:spacing w:before="40" w:after="40"/>
              <w:rPr>
                <w:color w:val="333333"/>
              </w:rPr>
            </w:pPr>
            <w:r w:rsidRPr="00D60B76">
              <w:t>2.1.1.10   Program Administration Services Requirements</w:t>
            </w:r>
          </w:p>
        </w:tc>
        <w:tc>
          <w:tcPr>
            <w:tcW w:w="717" w:type="dxa"/>
          </w:tcPr>
          <w:p w14:paraId="1AFB0570" w14:textId="76220A64" w:rsidR="00D60B76" w:rsidRPr="00D60B76" w:rsidRDefault="00D60B76" w:rsidP="001C163E">
            <w:pPr>
              <w:spacing w:before="40" w:after="40"/>
              <w:rPr>
                <w:color w:val="333333"/>
              </w:rPr>
            </w:pPr>
            <w:r w:rsidRPr="00D60B76">
              <w:t>17</w:t>
            </w:r>
          </w:p>
        </w:tc>
        <w:tc>
          <w:tcPr>
            <w:tcW w:w="5670" w:type="dxa"/>
          </w:tcPr>
          <w:p w14:paraId="1662C31C" w14:textId="73C419AB" w:rsidR="00D60B76" w:rsidRPr="00D60B76" w:rsidRDefault="00D60B76" w:rsidP="007B6532">
            <w:pPr>
              <w:spacing w:before="40" w:after="40"/>
              <w:jc w:val="both"/>
              <w:rPr>
                <w:color w:val="333333"/>
              </w:rPr>
            </w:pPr>
            <w:r w:rsidRPr="00D60B76">
              <w:t>What is the State referring to when saying “but are not limited to”? Can we see a list of all insurance coverage requirements?</w:t>
            </w:r>
          </w:p>
        </w:tc>
        <w:tc>
          <w:tcPr>
            <w:tcW w:w="5760" w:type="dxa"/>
            <w:shd w:val="clear" w:color="auto" w:fill="auto"/>
          </w:tcPr>
          <w:p w14:paraId="01993B85" w14:textId="19168A6E" w:rsidR="00D60B76" w:rsidRPr="00D60B76" w:rsidRDefault="00D60B76" w:rsidP="007B6532">
            <w:pPr>
              <w:spacing w:before="40" w:after="40"/>
              <w:jc w:val="both"/>
              <w:rPr>
                <w:b/>
                <w:bCs/>
              </w:rPr>
            </w:pPr>
            <w:r w:rsidRPr="00D60B76">
              <w:rPr>
                <w:b/>
                <w:bCs/>
              </w:rPr>
              <w:t>In its response to Section 4.1.1.3, Bidder should provide information for all insurance that would be maintained in connection with providing the PA Services to the Program. If one or more of the listed coverage types is not proposed to be provided, provide the rationale for not including that coverage.</w:t>
            </w:r>
          </w:p>
          <w:p w14:paraId="6334A37D" w14:textId="7570E606" w:rsidR="00D60B76" w:rsidRPr="00D60B76" w:rsidRDefault="00D60B76" w:rsidP="007B6532">
            <w:pPr>
              <w:spacing w:before="40" w:after="40"/>
              <w:jc w:val="both"/>
              <w:rPr>
                <w:b/>
                <w:bCs/>
              </w:rPr>
            </w:pPr>
          </w:p>
          <w:p w14:paraId="65E3B3E1" w14:textId="39807B95" w:rsidR="00D60B76" w:rsidRPr="00D60B76" w:rsidRDefault="00D60B76" w:rsidP="007B6532">
            <w:pPr>
              <w:spacing w:before="40" w:after="40"/>
              <w:jc w:val="both"/>
              <w:rPr>
                <w:b/>
                <w:bCs/>
              </w:rPr>
            </w:pPr>
            <w:r w:rsidRPr="00D60B76">
              <w:rPr>
                <w:b/>
                <w:bCs/>
              </w:rPr>
              <w:t xml:space="preserve">See Amendment #1. </w:t>
            </w:r>
          </w:p>
        </w:tc>
      </w:tr>
      <w:tr w:rsidR="00D60B76" w:rsidRPr="004936F0" w14:paraId="75226EE8" w14:textId="354CC94B" w:rsidTr="00D60B76">
        <w:tc>
          <w:tcPr>
            <w:tcW w:w="462" w:type="dxa"/>
            <w:shd w:val="clear" w:color="auto" w:fill="D9D9D9" w:themeFill="background1" w:themeFillShade="D9"/>
          </w:tcPr>
          <w:p w14:paraId="0F95D401" w14:textId="0EDE315A" w:rsidR="00D60B76" w:rsidRPr="004936F0" w:rsidRDefault="00D60B76" w:rsidP="001C163E">
            <w:pPr>
              <w:spacing w:before="40" w:after="40"/>
              <w:rPr>
                <w:b/>
                <w:bCs/>
              </w:rPr>
            </w:pPr>
            <w:r w:rsidRPr="004936F0">
              <w:rPr>
                <w:b/>
                <w:bCs/>
                <w:color w:val="000000"/>
              </w:rPr>
              <w:lastRenderedPageBreak/>
              <w:t>19</w:t>
            </w:r>
          </w:p>
        </w:tc>
        <w:tc>
          <w:tcPr>
            <w:tcW w:w="1696" w:type="dxa"/>
          </w:tcPr>
          <w:p w14:paraId="01F2F31F" w14:textId="60B929DF" w:rsidR="00D60B76" w:rsidRPr="00D60B76" w:rsidRDefault="00D60B76" w:rsidP="001C163E">
            <w:pPr>
              <w:spacing w:before="40" w:after="40"/>
              <w:rPr>
                <w:color w:val="333333"/>
              </w:rPr>
            </w:pPr>
            <w:r w:rsidRPr="00D60B76">
              <w:t>2.1.2.1. Recordkeeping</w:t>
            </w:r>
          </w:p>
        </w:tc>
        <w:tc>
          <w:tcPr>
            <w:tcW w:w="717" w:type="dxa"/>
          </w:tcPr>
          <w:p w14:paraId="6065AE0C" w14:textId="3A882EF2" w:rsidR="00D60B76" w:rsidRPr="00D60B76" w:rsidRDefault="00D60B76" w:rsidP="001C163E">
            <w:pPr>
              <w:spacing w:before="40" w:after="40"/>
              <w:rPr>
                <w:color w:val="333333"/>
              </w:rPr>
            </w:pPr>
            <w:r w:rsidRPr="00D60B76">
              <w:t>17</w:t>
            </w:r>
          </w:p>
        </w:tc>
        <w:tc>
          <w:tcPr>
            <w:tcW w:w="5670" w:type="dxa"/>
          </w:tcPr>
          <w:p w14:paraId="32199964" w14:textId="17FD7B9B" w:rsidR="00D60B76" w:rsidRPr="00D60B76" w:rsidRDefault="00D60B76" w:rsidP="007B6532">
            <w:pPr>
              <w:spacing w:before="40" w:after="40"/>
              <w:jc w:val="both"/>
              <w:rPr>
                <w:color w:val="333333"/>
              </w:rPr>
            </w:pPr>
            <w:r w:rsidRPr="00D60B76">
              <w:t xml:space="preserve">Starter K Plans cannot be funded with outside physical checks or rollovers from other Roth IRAs. Is the State comfortable with that limitation? </w:t>
            </w:r>
          </w:p>
        </w:tc>
        <w:tc>
          <w:tcPr>
            <w:tcW w:w="5760" w:type="dxa"/>
            <w:shd w:val="clear" w:color="auto" w:fill="auto"/>
          </w:tcPr>
          <w:p w14:paraId="1B1E5152" w14:textId="745D190F" w:rsidR="00D60B76" w:rsidRPr="00D60B76" w:rsidRDefault="00D60B76" w:rsidP="007B6532">
            <w:pPr>
              <w:spacing w:before="40" w:after="40"/>
              <w:jc w:val="both"/>
              <w:rPr>
                <w:b/>
                <w:bCs/>
              </w:rPr>
            </w:pPr>
            <w:r w:rsidRPr="00D60B76">
              <w:rPr>
                <w:b/>
                <w:bCs/>
              </w:rPr>
              <w:t>See Answer to Question #4.</w:t>
            </w:r>
          </w:p>
        </w:tc>
      </w:tr>
      <w:tr w:rsidR="00D60B76" w:rsidRPr="004936F0" w14:paraId="4859C237" w14:textId="042BE939" w:rsidTr="00D60B76">
        <w:tc>
          <w:tcPr>
            <w:tcW w:w="462" w:type="dxa"/>
            <w:shd w:val="clear" w:color="auto" w:fill="D9D9D9" w:themeFill="background1" w:themeFillShade="D9"/>
          </w:tcPr>
          <w:p w14:paraId="4505BC5B" w14:textId="7D180C4E" w:rsidR="00D60B76" w:rsidRPr="004936F0" w:rsidRDefault="00D60B76" w:rsidP="001C163E">
            <w:pPr>
              <w:spacing w:before="40" w:after="40"/>
              <w:rPr>
                <w:b/>
                <w:bCs/>
              </w:rPr>
            </w:pPr>
            <w:r w:rsidRPr="004936F0">
              <w:rPr>
                <w:b/>
                <w:bCs/>
                <w:color w:val="000000"/>
              </w:rPr>
              <w:t>20</w:t>
            </w:r>
          </w:p>
        </w:tc>
        <w:tc>
          <w:tcPr>
            <w:tcW w:w="1696" w:type="dxa"/>
          </w:tcPr>
          <w:p w14:paraId="0817D57D" w14:textId="727BAAA5" w:rsidR="00D60B76" w:rsidRPr="00D60B76" w:rsidRDefault="00D60B76" w:rsidP="001C163E">
            <w:pPr>
              <w:spacing w:before="40" w:after="40"/>
              <w:rPr>
                <w:color w:val="333333"/>
              </w:rPr>
            </w:pPr>
            <w:r w:rsidRPr="00D60B76">
              <w:t>2.1.2.5. Recordkeeping</w:t>
            </w:r>
          </w:p>
        </w:tc>
        <w:tc>
          <w:tcPr>
            <w:tcW w:w="717" w:type="dxa"/>
          </w:tcPr>
          <w:p w14:paraId="1565DB81" w14:textId="0D4E64C5" w:rsidR="00D60B76" w:rsidRPr="00D60B76" w:rsidRDefault="00D60B76" w:rsidP="001C163E">
            <w:pPr>
              <w:spacing w:before="40" w:after="40"/>
              <w:rPr>
                <w:color w:val="333333"/>
              </w:rPr>
            </w:pPr>
            <w:r w:rsidRPr="00D60B76">
              <w:t>18</w:t>
            </w:r>
          </w:p>
        </w:tc>
        <w:tc>
          <w:tcPr>
            <w:tcW w:w="5670" w:type="dxa"/>
          </w:tcPr>
          <w:p w14:paraId="1B3E7A29" w14:textId="2CE828E9" w:rsidR="00D60B76" w:rsidRPr="00D60B76" w:rsidRDefault="00D60B76" w:rsidP="007B6532">
            <w:pPr>
              <w:spacing w:before="40" w:after="40"/>
              <w:jc w:val="both"/>
              <w:rPr>
                <w:color w:val="333333"/>
              </w:rPr>
            </w:pPr>
            <w:r w:rsidRPr="00D60B76">
              <w:t xml:space="preserve">Starter K Plans cannot be funded with outside physical checks or rollovers from other Roth IRAs. Is the State comfortable with that limitation? </w:t>
            </w:r>
          </w:p>
        </w:tc>
        <w:tc>
          <w:tcPr>
            <w:tcW w:w="5760" w:type="dxa"/>
            <w:shd w:val="clear" w:color="auto" w:fill="auto"/>
          </w:tcPr>
          <w:p w14:paraId="46E13276" w14:textId="62898E70" w:rsidR="00D60B76" w:rsidRPr="00D60B76" w:rsidRDefault="00D60B76" w:rsidP="007B6532">
            <w:pPr>
              <w:spacing w:before="40" w:after="40"/>
              <w:jc w:val="both"/>
              <w:rPr>
                <w:b/>
                <w:bCs/>
              </w:rPr>
            </w:pPr>
            <w:r w:rsidRPr="00D60B76">
              <w:rPr>
                <w:b/>
                <w:bCs/>
              </w:rPr>
              <w:t>See Answer to Question #4.</w:t>
            </w:r>
          </w:p>
        </w:tc>
      </w:tr>
      <w:tr w:rsidR="00D60B76" w:rsidRPr="004936F0" w14:paraId="009E8457" w14:textId="22A3868F" w:rsidTr="00D60B76">
        <w:tc>
          <w:tcPr>
            <w:tcW w:w="462" w:type="dxa"/>
            <w:shd w:val="clear" w:color="auto" w:fill="D9D9D9" w:themeFill="background1" w:themeFillShade="D9"/>
          </w:tcPr>
          <w:p w14:paraId="367CA0A8" w14:textId="1E9CF889" w:rsidR="00D60B76" w:rsidRPr="004936F0" w:rsidRDefault="00D60B76" w:rsidP="001C163E">
            <w:pPr>
              <w:spacing w:before="40" w:after="40"/>
              <w:rPr>
                <w:b/>
                <w:bCs/>
              </w:rPr>
            </w:pPr>
            <w:r w:rsidRPr="004936F0">
              <w:rPr>
                <w:b/>
                <w:bCs/>
                <w:color w:val="000000"/>
              </w:rPr>
              <w:t>21</w:t>
            </w:r>
          </w:p>
        </w:tc>
        <w:tc>
          <w:tcPr>
            <w:tcW w:w="1696" w:type="dxa"/>
          </w:tcPr>
          <w:p w14:paraId="662C1D5A" w14:textId="19FB0588" w:rsidR="00D60B76" w:rsidRPr="00D60B76" w:rsidRDefault="00D60B76" w:rsidP="001C163E">
            <w:pPr>
              <w:spacing w:before="40" w:after="40"/>
              <w:rPr>
                <w:color w:val="333333"/>
              </w:rPr>
            </w:pPr>
            <w:r w:rsidRPr="00D60B76">
              <w:t>2.1.2.10</w:t>
            </w:r>
          </w:p>
        </w:tc>
        <w:tc>
          <w:tcPr>
            <w:tcW w:w="717" w:type="dxa"/>
          </w:tcPr>
          <w:p w14:paraId="456EFB1C" w14:textId="4E0FFF48" w:rsidR="00D60B76" w:rsidRPr="00D60B76" w:rsidRDefault="00D60B76" w:rsidP="001C163E">
            <w:pPr>
              <w:spacing w:before="40" w:after="40"/>
              <w:rPr>
                <w:color w:val="333333"/>
              </w:rPr>
            </w:pPr>
            <w:r w:rsidRPr="00D60B76">
              <w:t>19</w:t>
            </w:r>
          </w:p>
        </w:tc>
        <w:tc>
          <w:tcPr>
            <w:tcW w:w="5670" w:type="dxa"/>
          </w:tcPr>
          <w:p w14:paraId="2E596C35" w14:textId="2994FBEE" w:rsidR="00D60B76" w:rsidRPr="00D60B76" w:rsidRDefault="00D60B76" w:rsidP="007B6532">
            <w:pPr>
              <w:spacing w:before="40" w:after="40"/>
              <w:jc w:val="both"/>
            </w:pPr>
            <w:r w:rsidRPr="00D60B76">
              <w:t>Currently, the state programs we administer send fourth quarter statements by paper to all participants but default to electronic delivery for all other quarters. Does the Department expect the Program Administrator to send all four quarterly statements by paper unless a saver has opted-in to electronic delivery?</w:t>
            </w:r>
          </w:p>
        </w:tc>
        <w:tc>
          <w:tcPr>
            <w:tcW w:w="5760" w:type="dxa"/>
            <w:shd w:val="clear" w:color="auto" w:fill="auto"/>
          </w:tcPr>
          <w:p w14:paraId="19C8FF91" w14:textId="77777777" w:rsidR="00D60B76" w:rsidRPr="00D60B76" w:rsidRDefault="00D60B76" w:rsidP="007B6532">
            <w:pPr>
              <w:spacing w:before="40" w:after="40"/>
              <w:jc w:val="both"/>
              <w:rPr>
                <w:b/>
                <w:bCs/>
              </w:rPr>
            </w:pPr>
            <w:r w:rsidRPr="00D60B76">
              <w:rPr>
                <w:b/>
                <w:bCs/>
              </w:rPr>
              <w:t>Yes.</w:t>
            </w:r>
          </w:p>
          <w:p w14:paraId="3F7CBF1F" w14:textId="77777777" w:rsidR="00D60B76" w:rsidRPr="00D60B76" w:rsidRDefault="00D60B76" w:rsidP="007B6532">
            <w:pPr>
              <w:spacing w:before="40" w:after="40"/>
              <w:jc w:val="both"/>
              <w:rPr>
                <w:b/>
                <w:bCs/>
              </w:rPr>
            </w:pPr>
          </w:p>
          <w:p w14:paraId="57D8E877" w14:textId="77777777" w:rsidR="00D60B76" w:rsidRPr="00D60B76" w:rsidRDefault="00D60B76" w:rsidP="007B6532">
            <w:pPr>
              <w:spacing w:before="40" w:after="40"/>
              <w:jc w:val="both"/>
              <w:rPr>
                <w:b/>
                <w:bCs/>
              </w:rPr>
            </w:pPr>
          </w:p>
          <w:p w14:paraId="007A36A2" w14:textId="77777777" w:rsidR="00D60B76" w:rsidRPr="00D60B76" w:rsidRDefault="00D60B76" w:rsidP="007B6532">
            <w:pPr>
              <w:spacing w:before="40" w:after="40"/>
              <w:jc w:val="both"/>
              <w:rPr>
                <w:b/>
                <w:bCs/>
              </w:rPr>
            </w:pPr>
          </w:p>
          <w:p w14:paraId="3798EBE5" w14:textId="7088061E" w:rsidR="00D60B76" w:rsidRPr="00D60B76" w:rsidRDefault="00D60B76" w:rsidP="007B6532">
            <w:pPr>
              <w:spacing w:before="40" w:after="40"/>
              <w:jc w:val="both"/>
              <w:rPr>
                <w:b/>
                <w:bCs/>
              </w:rPr>
            </w:pPr>
          </w:p>
        </w:tc>
      </w:tr>
      <w:tr w:rsidR="00D60B76" w:rsidRPr="004936F0" w14:paraId="4D06393C" w14:textId="6DE95833" w:rsidTr="00D60B76">
        <w:tc>
          <w:tcPr>
            <w:tcW w:w="462" w:type="dxa"/>
            <w:shd w:val="clear" w:color="auto" w:fill="D9D9D9" w:themeFill="background1" w:themeFillShade="D9"/>
          </w:tcPr>
          <w:p w14:paraId="5C47B068" w14:textId="06F75E57" w:rsidR="00D60B76" w:rsidRPr="004936F0" w:rsidRDefault="00D60B76" w:rsidP="001C163E">
            <w:pPr>
              <w:spacing w:before="40" w:after="40"/>
              <w:rPr>
                <w:b/>
                <w:bCs/>
              </w:rPr>
            </w:pPr>
            <w:r w:rsidRPr="004936F0">
              <w:rPr>
                <w:b/>
                <w:bCs/>
                <w:color w:val="000000"/>
              </w:rPr>
              <w:t>22</w:t>
            </w:r>
          </w:p>
        </w:tc>
        <w:tc>
          <w:tcPr>
            <w:tcW w:w="1696" w:type="dxa"/>
          </w:tcPr>
          <w:p w14:paraId="45476577" w14:textId="2A0D5262" w:rsidR="00D60B76" w:rsidRPr="00D60B76" w:rsidRDefault="00D60B76" w:rsidP="001C163E">
            <w:pPr>
              <w:spacing w:before="40" w:after="40"/>
              <w:rPr>
                <w:color w:val="333333"/>
              </w:rPr>
            </w:pPr>
            <w:r w:rsidRPr="00D60B76">
              <w:t xml:space="preserve">2.1.3.1. Customer Service </w:t>
            </w:r>
          </w:p>
        </w:tc>
        <w:tc>
          <w:tcPr>
            <w:tcW w:w="717" w:type="dxa"/>
          </w:tcPr>
          <w:p w14:paraId="5F0C69CF" w14:textId="5C1E42F4" w:rsidR="00D60B76" w:rsidRPr="00D60B76" w:rsidRDefault="00D60B76" w:rsidP="001C163E">
            <w:pPr>
              <w:spacing w:before="40" w:after="40"/>
              <w:rPr>
                <w:color w:val="333333"/>
              </w:rPr>
            </w:pPr>
            <w:r w:rsidRPr="00D60B76">
              <w:t>19</w:t>
            </w:r>
          </w:p>
        </w:tc>
        <w:tc>
          <w:tcPr>
            <w:tcW w:w="5670" w:type="dxa"/>
          </w:tcPr>
          <w:p w14:paraId="1F5CBDD1" w14:textId="14ED2723" w:rsidR="00D60B76" w:rsidRPr="00D60B76" w:rsidRDefault="00D60B76" w:rsidP="007B6532">
            <w:pPr>
              <w:spacing w:before="40" w:after="200"/>
              <w:jc w:val="both"/>
              <w:rPr>
                <w:sz w:val="20"/>
                <w:szCs w:val="20"/>
              </w:rPr>
            </w:pPr>
            <w:r w:rsidRPr="00D60B76">
              <w:t xml:space="preserve">We are staffed from 9a-7p ET (see </w:t>
            </w:r>
            <w:r w:rsidRPr="00D60B76">
              <w:rPr>
                <w:u w:val="single"/>
              </w:rPr>
              <w:t>Help Center Article</w:t>
            </w:r>
            <w:r w:rsidRPr="00D60B76">
              <w:t>). Does this disqualify us?</w:t>
            </w:r>
          </w:p>
          <w:p w14:paraId="20A90ACC" w14:textId="4F29E2C3" w:rsidR="00D60B76" w:rsidRPr="00D60B76" w:rsidRDefault="00D60B76" w:rsidP="007B6532">
            <w:pPr>
              <w:spacing w:before="40" w:after="40"/>
              <w:ind w:left="65" w:hanging="65"/>
              <w:jc w:val="both"/>
              <w:rPr>
                <w:color w:val="333333"/>
                <w:vertAlign w:val="superscript"/>
              </w:rPr>
            </w:pPr>
          </w:p>
        </w:tc>
        <w:tc>
          <w:tcPr>
            <w:tcW w:w="5760" w:type="dxa"/>
            <w:shd w:val="clear" w:color="auto" w:fill="auto"/>
          </w:tcPr>
          <w:p w14:paraId="0091E29E" w14:textId="77777777" w:rsidR="00D60B76" w:rsidRPr="00D60B76" w:rsidRDefault="00D60B76" w:rsidP="007B6532">
            <w:pPr>
              <w:spacing w:before="40" w:after="40"/>
              <w:jc w:val="both"/>
              <w:rPr>
                <w:b/>
                <w:bCs/>
              </w:rPr>
            </w:pPr>
            <w:r w:rsidRPr="00D60B76">
              <w:rPr>
                <w:b/>
                <w:bCs/>
              </w:rPr>
              <w:t>See Amendment #1.</w:t>
            </w:r>
          </w:p>
          <w:p w14:paraId="23FDDE8C" w14:textId="77777777" w:rsidR="00D60B76" w:rsidRPr="00D60B76" w:rsidRDefault="00D60B76" w:rsidP="007B6532">
            <w:pPr>
              <w:spacing w:before="40" w:after="40"/>
              <w:jc w:val="both"/>
              <w:rPr>
                <w:b/>
                <w:bCs/>
              </w:rPr>
            </w:pPr>
          </w:p>
          <w:p w14:paraId="100FE664" w14:textId="522FEF99" w:rsidR="00D60B76" w:rsidRPr="00D60B76" w:rsidRDefault="00D60B76" w:rsidP="007B6532">
            <w:pPr>
              <w:spacing w:before="40" w:after="40"/>
              <w:jc w:val="both"/>
              <w:rPr>
                <w:b/>
                <w:bCs/>
              </w:rPr>
            </w:pPr>
            <w:r w:rsidRPr="00D60B76">
              <w:rPr>
                <w:b/>
                <w:bCs/>
              </w:rPr>
              <w:t xml:space="preserve">Note: The submitted Question included a link to an article on the Potential Bidder’s website. The link has been removed. </w:t>
            </w:r>
          </w:p>
        </w:tc>
      </w:tr>
      <w:tr w:rsidR="00D60B76" w:rsidRPr="004936F0" w14:paraId="0F4DCB3F" w14:textId="380133CA" w:rsidTr="00D60B76">
        <w:tc>
          <w:tcPr>
            <w:tcW w:w="462" w:type="dxa"/>
            <w:shd w:val="clear" w:color="auto" w:fill="D9D9D9" w:themeFill="background1" w:themeFillShade="D9"/>
          </w:tcPr>
          <w:p w14:paraId="02CE8167" w14:textId="5AEAD66B" w:rsidR="00D60B76" w:rsidRPr="004936F0" w:rsidRDefault="00D60B76" w:rsidP="001C163E">
            <w:pPr>
              <w:spacing w:before="40" w:after="40"/>
              <w:rPr>
                <w:b/>
                <w:bCs/>
              </w:rPr>
            </w:pPr>
            <w:r w:rsidRPr="004936F0">
              <w:rPr>
                <w:b/>
                <w:bCs/>
                <w:color w:val="000000"/>
              </w:rPr>
              <w:t>23</w:t>
            </w:r>
          </w:p>
        </w:tc>
        <w:tc>
          <w:tcPr>
            <w:tcW w:w="1696" w:type="dxa"/>
          </w:tcPr>
          <w:p w14:paraId="4746EE49" w14:textId="6C7B1126" w:rsidR="00D60B76" w:rsidRPr="00D60B76" w:rsidRDefault="00D60B76" w:rsidP="001C163E">
            <w:pPr>
              <w:spacing w:before="40" w:after="40"/>
              <w:rPr>
                <w:color w:val="333333"/>
              </w:rPr>
            </w:pPr>
            <w:r w:rsidRPr="00D60B76">
              <w:t>2.1.3.1</w:t>
            </w:r>
          </w:p>
        </w:tc>
        <w:tc>
          <w:tcPr>
            <w:tcW w:w="717" w:type="dxa"/>
          </w:tcPr>
          <w:p w14:paraId="07304443" w14:textId="484DD1F8" w:rsidR="00D60B76" w:rsidRPr="00D60B76" w:rsidRDefault="00D60B76" w:rsidP="001C163E">
            <w:pPr>
              <w:spacing w:before="40" w:after="40"/>
              <w:rPr>
                <w:color w:val="333333"/>
              </w:rPr>
            </w:pPr>
            <w:r w:rsidRPr="00D60B76">
              <w:t>19</w:t>
            </w:r>
          </w:p>
        </w:tc>
        <w:tc>
          <w:tcPr>
            <w:tcW w:w="5670" w:type="dxa"/>
          </w:tcPr>
          <w:p w14:paraId="549EFBB8" w14:textId="5391ACEE" w:rsidR="00D60B76" w:rsidRPr="00D60B76" w:rsidRDefault="00D60B76" w:rsidP="007B6532">
            <w:pPr>
              <w:spacing w:before="40" w:after="40"/>
              <w:jc w:val="both"/>
            </w:pPr>
            <w:r w:rsidRPr="00D60B76">
              <w:t xml:space="preserve">We can staff a call center with live representatives available from 8:00 a.m. through 6:00 p.m.ET (Monday through Friday, not including New York Stock Exchange holidays) instead of the 8am-9pmET listed in the RFP. </w:t>
            </w:r>
          </w:p>
        </w:tc>
        <w:tc>
          <w:tcPr>
            <w:tcW w:w="5760" w:type="dxa"/>
            <w:shd w:val="clear" w:color="auto" w:fill="auto"/>
          </w:tcPr>
          <w:p w14:paraId="3AC4E17F" w14:textId="607CC4CE" w:rsidR="00D60B76" w:rsidRDefault="00D60B76" w:rsidP="007B6532">
            <w:pPr>
              <w:spacing w:before="40" w:after="40"/>
              <w:jc w:val="both"/>
              <w:rPr>
                <w:b/>
                <w:bCs/>
              </w:rPr>
            </w:pPr>
            <w:r w:rsidRPr="00D60B76">
              <w:rPr>
                <w:b/>
                <w:bCs/>
              </w:rPr>
              <w:t>See Amendment #1.</w:t>
            </w:r>
          </w:p>
          <w:p w14:paraId="722BA45F" w14:textId="2BA494C7" w:rsidR="00D60B76" w:rsidRPr="00D60B76" w:rsidRDefault="00D60B76" w:rsidP="007B6532">
            <w:pPr>
              <w:spacing w:before="40" w:after="40"/>
              <w:jc w:val="both"/>
              <w:rPr>
                <w:b/>
                <w:bCs/>
              </w:rPr>
            </w:pPr>
            <w:r w:rsidRPr="00D60B76">
              <w:rPr>
                <w:b/>
                <w:bCs/>
              </w:rPr>
              <w:t xml:space="preserve"> </w:t>
            </w:r>
          </w:p>
        </w:tc>
      </w:tr>
      <w:tr w:rsidR="00D60B76" w:rsidRPr="004936F0" w14:paraId="57EBF657" w14:textId="49B241B7" w:rsidTr="00D60B76">
        <w:tc>
          <w:tcPr>
            <w:tcW w:w="462" w:type="dxa"/>
            <w:shd w:val="clear" w:color="auto" w:fill="D9D9D9" w:themeFill="background1" w:themeFillShade="D9"/>
          </w:tcPr>
          <w:p w14:paraId="367AF7BE" w14:textId="7E30A427" w:rsidR="00D60B76" w:rsidRPr="004936F0" w:rsidRDefault="00D60B76" w:rsidP="001C163E">
            <w:pPr>
              <w:spacing w:before="40" w:after="40"/>
              <w:rPr>
                <w:b/>
                <w:bCs/>
              </w:rPr>
            </w:pPr>
            <w:r w:rsidRPr="004936F0">
              <w:rPr>
                <w:b/>
                <w:bCs/>
                <w:color w:val="000000"/>
              </w:rPr>
              <w:t>24</w:t>
            </w:r>
          </w:p>
        </w:tc>
        <w:tc>
          <w:tcPr>
            <w:tcW w:w="1696" w:type="dxa"/>
          </w:tcPr>
          <w:p w14:paraId="267F1548" w14:textId="4D7AEDE4" w:rsidR="00D60B76" w:rsidRPr="00D60B76" w:rsidRDefault="00D60B76" w:rsidP="001C163E">
            <w:pPr>
              <w:spacing w:before="40" w:after="40"/>
              <w:rPr>
                <w:color w:val="333333"/>
              </w:rPr>
            </w:pPr>
            <w:r w:rsidRPr="00D60B76">
              <w:t xml:space="preserve">2.1.3.2. Customer Service </w:t>
            </w:r>
          </w:p>
        </w:tc>
        <w:tc>
          <w:tcPr>
            <w:tcW w:w="717" w:type="dxa"/>
          </w:tcPr>
          <w:p w14:paraId="74603C27" w14:textId="000511AF" w:rsidR="00D60B76" w:rsidRPr="00D60B76" w:rsidRDefault="00D60B76" w:rsidP="001C163E">
            <w:pPr>
              <w:spacing w:before="40" w:after="40"/>
              <w:rPr>
                <w:color w:val="333333"/>
              </w:rPr>
            </w:pPr>
            <w:r w:rsidRPr="00D60B76">
              <w:t>20</w:t>
            </w:r>
          </w:p>
        </w:tc>
        <w:tc>
          <w:tcPr>
            <w:tcW w:w="5670" w:type="dxa"/>
          </w:tcPr>
          <w:p w14:paraId="69272CFD" w14:textId="2E52E8A2" w:rsidR="00D60B76" w:rsidRPr="00D60B76" w:rsidRDefault="00D60B76" w:rsidP="007B6532">
            <w:pPr>
              <w:spacing w:before="40" w:after="40"/>
              <w:jc w:val="both"/>
              <w:rPr>
                <w:color w:val="333333"/>
              </w:rPr>
            </w:pPr>
            <w:r w:rsidRPr="00D60B76">
              <w:t>Is there any flexibility on this language requirement? If so, what are the mandatory languages?</w:t>
            </w:r>
          </w:p>
        </w:tc>
        <w:tc>
          <w:tcPr>
            <w:tcW w:w="5760" w:type="dxa"/>
            <w:shd w:val="clear" w:color="auto" w:fill="auto"/>
          </w:tcPr>
          <w:p w14:paraId="1EF5D4A8" w14:textId="31C64D8E" w:rsidR="00D60B76" w:rsidRPr="00D60B76" w:rsidRDefault="00D60B76" w:rsidP="007B6532">
            <w:pPr>
              <w:spacing w:before="40" w:after="40"/>
              <w:jc w:val="both"/>
              <w:rPr>
                <w:b/>
                <w:bCs/>
              </w:rPr>
            </w:pPr>
            <w:r w:rsidRPr="00D60B76">
              <w:rPr>
                <w:b/>
                <w:bCs/>
              </w:rPr>
              <w:t>No.</w:t>
            </w:r>
            <w:r w:rsidRPr="00D60B76">
              <w:rPr>
                <w:b/>
                <w:bCs/>
                <w:strike/>
              </w:rPr>
              <w:t xml:space="preserve"> </w:t>
            </w:r>
          </w:p>
        </w:tc>
      </w:tr>
      <w:tr w:rsidR="00D60B76" w:rsidRPr="004936F0" w14:paraId="3760CDC5" w14:textId="67DD004C" w:rsidTr="00D60B76">
        <w:tc>
          <w:tcPr>
            <w:tcW w:w="462" w:type="dxa"/>
            <w:shd w:val="clear" w:color="auto" w:fill="D9D9D9" w:themeFill="background1" w:themeFillShade="D9"/>
          </w:tcPr>
          <w:p w14:paraId="1256421F" w14:textId="2B1671D7" w:rsidR="00D60B76" w:rsidRPr="004936F0" w:rsidRDefault="00D60B76" w:rsidP="001C163E">
            <w:pPr>
              <w:spacing w:before="40" w:after="40"/>
              <w:rPr>
                <w:b/>
                <w:bCs/>
              </w:rPr>
            </w:pPr>
            <w:r w:rsidRPr="004936F0">
              <w:rPr>
                <w:b/>
                <w:bCs/>
                <w:color w:val="000000"/>
              </w:rPr>
              <w:t>25</w:t>
            </w:r>
          </w:p>
        </w:tc>
        <w:tc>
          <w:tcPr>
            <w:tcW w:w="1696" w:type="dxa"/>
          </w:tcPr>
          <w:p w14:paraId="6D267D61" w14:textId="77777777" w:rsidR="00D60B76" w:rsidRPr="00D60B76" w:rsidRDefault="00D60B76" w:rsidP="001C163E">
            <w:pPr>
              <w:pStyle w:val="TableParagraph"/>
              <w:spacing w:before="40"/>
            </w:pPr>
            <w:r w:rsidRPr="00D60B76">
              <w:rPr>
                <w:color w:val="252525"/>
              </w:rPr>
              <w:t>2.1.3</w:t>
            </w:r>
          </w:p>
          <w:p w14:paraId="78A4F236" w14:textId="77777777" w:rsidR="00D60B76" w:rsidRPr="00D60B76" w:rsidRDefault="00D60B76" w:rsidP="001C163E">
            <w:pPr>
              <w:pStyle w:val="TableParagraph"/>
              <w:ind w:right="441"/>
            </w:pPr>
            <w:r w:rsidRPr="00D60B76">
              <w:rPr>
                <w:color w:val="252525"/>
              </w:rPr>
              <w:t>Customer Service</w:t>
            </w:r>
          </w:p>
          <w:p w14:paraId="123362ED" w14:textId="6AED0B1C" w:rsidR="00D60B76" w:rsidRPr="00D60B76" w:rsidRDefault="00D60B76" w:rsidP="001C163E">
            <w:pPr>
              <w:spacing w:after="40"/>
              <w:rPr>
                <w:color w:val="333333"/>
              </w:rPr>
            </w:pPr>
            <w:r w:rsidRPr="00D60B76">
              <w:rPr>
                <w:color w:val="252525"/>
              </w:rPr>
              <w:t>(2.1.3.3.)</w:t>
            </w:r>
          </w:p>
        </w:tc>
        <w:tc>
          <w:tcPr>
            <w:tcW w:w="717" w:type="dxa"/>
          </w:tcPr>
          <w:p w14:paraId="5866D265" w14:textId="240F2F26" w:rsidR="00D60B76" w:rsidRPr="00D60B76" w:rsidRDefault="00D60B76" w:rsidP="001C163E">
            <w:pPr>
              <w:spacing w:before="40" w:after="40"/>
              <w:rPr>
                <w:color w:val="333333"/>
              </w:rPr>
            </w:pPr>
            <w:r w:rsidRPr="00D60B76">
              <w:rPr>
                <w:color w:val="252525"/>
              </w:rPr>
              <w:t>20</w:t>
            </w:r>
          </w:p>
        </w:tc>
        <w:tc>
          <w:tcPr>
            <w:tcW w:w="5670" w:type="dxa"/>
          </w:tcPr>
          <w:p w14:paraId="1FFC2D17" w14:textId="124E6C78" w:rsidR="00D60B76" w:rsidRPr="00D60B76" w:rsidRDefault="00D60B76" w:rsidP="007B6532">
            <w:pPr>
              <w:spacing w:before="40" w:after="40"/>
              <w:jc w:val="both"/>
              <w:rPr>
                <w:color w:val="333333"/>
              </w:rPr>
            </w:pPr>
            <w:r w:rsidRPr="00D60B76">
              <w:rPr>
                <w:color w:val="252525"/>
              </w:rPr>
              <w:t>Would a bid submitted with a different benchmark than the referenced 85% of calls answered within 45 seconds on a monthly basis be considered non-compliant?</w:t>
            </w:r>
          </w:p>
        </w:tc>
        <w:tc>
          <w:tcPr>
            <w:tcW w:w="5760" w:type="dxa"/>
            <w:shd w:val="clear" w:color="auto" w:fill="auto"/>
          </w:tcPr>
          <w:p w14:paraId="285A9DB4" w14:textId="51AD113E" w:rsidR="00D60B76" w:rsidRPr="00D60B76" w:rsidRDefault="00D60B76" w:rsidP="007B6532">
            <w:pPr>
              <w:spacing w:before="40" w:after="40"/>
              <w:jc w:val="both"/>
              <w:rPr>
                <w:b/>
                <w:bCs/>
              </w:rPr>
            </w:pPr>
            <w:r w:rsidRPr="00D60B76">
              <w:rPr>
                <w:b/>
                <w:bCs/>
              </w:rPr>
              <w:t xml:space="preserve">The Program clarifies that the performance measures listed in 2.1.3.3 are optimal targets.  In response to Section 4.2.3.3, Bidders should propose what they will provide, getting as close to the optimal target as achievable. The technical evaluation will take into consideration the performance measures proposed. </w:t>
            </w:r>
          </w:p>
        </w:tc>
      </w:tr>
      <w:tr w:rsidR="00D60B76" w:rsidRPr="004936F0" w14:paraId="4289F4F5" w14:textId="44453681" w:rsidTr="00D60B76">
        <w:tc>
          <w:tcPr>
            <w:tcW w:w="462" w:type="dxa"/>
            <w:shd w:val="clear" w:color="auto" w:fill="D9D9D9" w:themeFill="background1" w:themeFillShade="D9"/>
          </w:tcPr>
          <w:p w14:paraId="17C2CE11" w14:textId="171A20BF" w:rsidR="00D60B76" w:rsidRPr="004936F0" w:rsidRDefault="00D60B76" w:rsidP="001C163E">
            <w:pPr>
              <w:spacing w:before="40" w:after="40"/>
              <w:rPr>
                <w:b/>
                <w:bCs/>
              </w:rPr>
            </w:pPr>
            <w:r w:rsidRPr="004936F0">
              <w:rPr>
                <w:b/>
                <w:bCs/>
                <w:color w:val="000000"/>
              </w:rPr>
              <w:t>26</w:t>
            </w:r>
          </w:p>
        </w:tc>
        <w:tc>
          <w:tcPr>
            <w:tcW w:w="1696" w:type="dxa"/>
          </w:tcPr>
          <w:p w14:paraId="2768314D" w14:textId="4351A250" w:rsidR="00D60B76" w:rsidRPr="00D60B76" w:rsidRDefault="00D60B76" w:rsidP="001C163E">
            <w:pPr>
              <w:spacing w:before="40" w:after="40"/>
              <w:rPr>
                <w:color w:val="333333"/>
              </w:rPr>
            </w:pPr>
            <w:r w:rsidRPr="00D60B76">
              <w:t>2.1.3.3</w:t>
            </w:r>
          </w:p>
        </w:tc>
        <w:tc>
          <w:tcPr>
            <w:tcW w:w="717" w:type="dxa"/>
          </w:tcPr>
          <w:p w14:paraId="6338299E" w14:textId="2DCC9F5F" w:rsidR="00D60B76" w:rsidRPr="00D60B76" w:rsidRDefault="00D60B76" w:rsidP="001C163E">
            <w:pPr>
              <w:spacing w:before="40" w:after="40"/>
              <w:rPr>
                <w:color w:val="333333"/>
              </w:rPr>
            </w:pPr>
            <w:r w:rsidRPr="00D60B76">
              <w:t>20</w:t>
            </w:r>
          </w:p>
        </w:tc>
        <w:tc>
          <w:tcPr>
            <w:tcW w:w="5670" w:type="dxa"/>
          </w:tcPr>
          <w:p w14:paraId="59C4BAAE" w14:textId="5B93FB31" w:rsidR="00D60B76" w:rsidRPr="00D60B76" w:rsidRDefault="00D60B76" w:rsidP="007B6532">
            <w:pPr>
              <w:spacing w:before="40" w:after="40"/>
              <w:jc w:val="both"/>
            </w:pPr>
            <w:r w:rsidRPr="00D60B76">
              <w:t xml:space="preserve">As part of our standard SLA’s for state administered auto-IRA programs, we offer a 45 second monthly average speed of answer, with the exception of months </w:t>
            </w:r>
            <w:r w:rsidRPr="00D60B76">
              <w:lastRenderedPageBreak/>
              <w:t xml:space="preserve">that include an employer deadline during the initial program launch. </w:t>
            </w:r>
          </w:p>
        </w:tc>
        <w:tc>
          <w:tcPr>
            <w:tcW w:w="5760" w:type="dxa"/>
            <w:shd w:val="clear" w:color="auto" w:fill="auto"/>
          </w:tcPr>
          <w:p w14:paraId="6B3A9C45" w14:textId="7D55F0C0" w:rsidR="00D60B76" w:rsidRPr="00D60B76" w:rsidRDefault="00D60B76" w:rsidP="007B6532">
            <w:pPr>
              <w:spacing w:before="40" w:after="40"/>
              <w:jc w:val="both"/>
              <w:rPr>
                <w:b/>
                <w:bCs/>
              </w:rPr>
            </w:pPr>
            <w:r w:rsidRPr="00D60B76">
              <w:rPr>
                <w:b/>
                <w:bCs/>
              </w:rPr>
              <w:lastRenderedPageBreak/>
              <w:t>See Answer to Question #25.</w:t>
            </w:r>
          </w:p>
        </w:tc>
      </w:tr>
      <w:tr w:rsidR="00D60B76" w:rsidRPr="004936F0" w14:paraId="06A572DA" w14:textId="3C7FA8EE" w:rsidTr="00D60B76">
        <w:tc>
          <w:tcPr>
            <w:tcW w:w="462" w:type="dxa"/>
            <w:shd w:val="clear" w:color="auto" w:fill="D9D9D9" w:themeFill="background1" w:themeFillShade="D9"/>
          </w:tcPr>
          <w:p w14:paraId="41873871" w14:textId="6066F87B" w:rsidR="00D60B76" w:rsidRPr="004936F0" w:rsidRDefault="00D60B76" w:rsidP="001C163E">
            <w:pPr>
              <w:spacing w:before="40" w:after="40"/>
              <w:rPr>
                <w:b/>
                <w:bCs/>
              </w:rPr>
            </w:pPr>
            <w:r w:rsidRPr="004936F0">
              <w:rPr>
                <w:b/>
                <w:bCs/>
                <w:color w:val="000000"/>
              </w:rPr>
              <w:t>27</w:t>
            </w:r>
          </w:p>
        </w:tc>
        <w:tc>
          <w:tcPr>
            <w:tcW w:w="1696" w:type="dxa"/>
          </w:tcPr>
          <w:p w14:paraId="7B8D0DEE" w14:textId="3343126F" w:rsidR="00D60B76" w:rsidRPr="00D60B76" w:rsidRDefault="00D60B76" w:rsidP="001C163E">
            <w:pPr>
              <w:spacing w:before="40" w:after="40"/>
              <w:rPr>
                <w:color w:val="333333"/>
              </w:rPr>
            </w:pPr>
            <w:r w:rsidRPr="00D60B76">
              <w:t>2.1.3.6. Customer Service</w:t>
            </w:r>
          </w:p>
        </w:tc>
        <w:tc>
          <w:tcPr>
            <w:tcW w:w="717" w:type="dxa"/>
          </w:tcPr>
          <w:p w14:paraId="6D5C5D38" w14:textId="2F27026B" w:rsidR="00D60B76" w:rsidRPr="00D60B76" w:rsidRDefault="00D60B76" w:rsidP="001C163E">
            <w:pPr>
              <w:spacing w:before="40" w:after="40"/>
              <w:rPr>
                <w:color w:val="333333"/>
              </w:rPr>
            </w:pPr>
            <w:r w:rsidRPr="00D60B76">
              <w:t>21</w:t>
            </w:r>
          </w:p>
        </w:tc>
        <w:tc>
          <w:tcPr>
            <w:tcW w:w="5670" w:type="dxa"/>
          </w:tcPr>
          <w:p w14:paraId="6D0BE28A" w14:textId="1EA67C1F" w:rsidR="00D60B76" w:rsidRPr="00D60B76" w:rsidRDefault="00D60B76" w:rsidP="007B6532">
            <w:pPr>
              <w:spacing w:before="40" w:after="40"/>
              <w:jc w:val="both"/>
            </w:pPr>
            <w:r w:rsidRPr="00D60B76">
              <w:t xml:space="preserve">Are we obligated to make these recordings available to the Program upon request? </w:t>
            </w:r>
          </w:p>
          <w:p w14:paraId="73F46C9A" w14:textId="77777777" w:rsidR="00D60B76" w:rsidRPr="00D60B76" w:rsidRDefault="00D60B76" w:rsidP="007B6532">
            <w:pPr>
              <w:spacing w:before="40" w:after="40"/>
              <w:jc w:val="both"/>
            </w:pPr>
          </w:p>
          <w:p w14:paraId="763075D1" w14:textId="11D192A5" w:rsidR="00D60B76" w:rsidRPr="00D60B76" w:rsidRDefault="00D60B76" w:rsidP="007B6532">
            <w:pPr>
              <w:spacing w:before="40" w:after="40"/>
              <w:jc w:val="both"/>
            </w:pPr>
            <w:r w:rsidRPr="00D60B76">
              <w:t xml:space="preserve">What would be a qualifying reason for requesting these recordings? </w:t>
            </w:r>
          </w:p>
          <w:p w14:paraId="2FF371B9" w14:textId="4B097225" w:rsidR="00D60B76" w:rsidRDefault="00D60B76" w:rsidP="007B6532">
            <w:pPr>
              <w:spacing w:before="40" w:after="40"/>
              <w:jc w:val="both"/>
            </w:pPr>
          </w:p>
          <w:p w14:paraId="446CC22B" w14:textId="1B61C576" w:rsidR="00BE08E0" w:rsidRDefault="00BE08E0" w:rsidP="007B6532">
            <w:pPr>
              <w:spacing w:before="40" w:after="40"/>
              <w:jc w:val="both"/>
            </w:pPr>
          </w:p>
          <w:p w14:paraId="10E1118B" w14:textId="77777777" w:rsidR="00BE08E0" w:rsidRPr="00D60B76" w:rsidRDefault="00BE08E0" w:rsidP="007B6532">
            <w:pPr>
              <w:spacing w:before="40" w:after="40"/>
              <w:jc w:val="both"/>
            </w:pPr>
          </w:p>
          <w:p w14:paraId="0B249CB4" w14:textId="46BDA074" w:rsidR="00D60B76" w:rsidRPr="00D60B76" w:rsidRDefault="00D60B76" w:rsidP="007B6532">
            <w:pPr>
              <w:spacing w:before="40" w:after="40"/>
              <w:jc w:val="both"/>
              <w:rPr>
                <w:color w:val="333333"/>
              </w:rPr>
            </w:pPr>
            <w:r w:rsidRPr="00D60B76">
              <w:t xml:space="preserve">What is the definition of “regularly review”? </w:t>
            </w:r>
          </w:p>
        </w:tc>
        <w:tc>
          <w:tcPr>
            <w:tcW w:w="5760" w:type="dxa"/>
            <w:shd w:val="clear" w:color="auto" w:fill="auto"/>
          </w:tcPr>
          <w:p w14:paraId="1CA48A07" w14:textId="69EBC577" w:rsidR="00D60B76" w:rsidRPr="00D60B76" w:rsidRDefault="00D60B76" w:rsidP="007B6532">
            <w:pPr>
              <w:spacing w:before="40" w:after="40"/>
              <w:jc w:val="both"/>
              <w:rPr>
                <w:b/>
                <w:bCs/>
              </w:rPr>
            </w:pPr>
            <w:r w:rsidRPr="00D60B76">
              <w:rPr>
                <w:b/>
                <w:bCs/>
              </w:rPr>
              <w:t>Yes.</w:t>
            </w:r>
          </w:p>
          <w:p w14:paraId="15034FA8" w14:textId="3B13A950" w:rsidR="00D60B76" w:rsidRPr="00D60B76" w:rsidRDefault="00D60B76" w:rsidP="007B6532">
            <w:pPr>
              <w:spacing w:before="40" w:after="40"/>
              <w:jc w:val="both"/>
              <w:rPr>
                <w:b/>
                <w:bCs/>
              </w:rPr>
            </w:pPr>
          </w:p>
          <w:p w14:paraId="63FB9CDC" w14:textId="77777777" w:rsidR="00D60B76" w:rsidRPr="00D60B76" w:rsidRDefault="00D60B76" w:rsidP="007B6532">
            <w:pPr>
              <w:spacing w:before="40" w:after="40"/>
              <w:jc w:val="both"/>
              <w:rPr>
                <w:b/>
                <w:bCs/>
              </w:rPr>
            </w:pPr>
          </w:p>
          <w:p w14:paraId="7C532E43" w14:textId="5F9F1AEE" w:rsidR="00D60B76" w:rsidRPr="00D60B76" w:rsidRDefault="00D60B76" w:rsidP="007B6532">
            <w:pPr>
              <w:spacing w:before="40" w:after="40"/>
              <w:jc w:val="both"/>
              <w:rPr>
                <w:b/>
                <w:bCs/>
              </w:rPr>
            </w:pPr>
            <w:r w:rsidRPr="00D60B76">
              <w:rPr>
                <w:b/>
                <w:bCs/>
              </w:rPr>
              <w:t xml:space="preserve">There are any number of reasons the Program might request access to customer service call recordings and/or correspondence exchanged between its Contractor and Program participants. </w:t>
            </w:r>
          </w:p>
          <w:p w14:paraId="435012CC" w14:textId="77777777" w:rsidR="00D60B76" w:rsidRPr="00D60B76" w:rsidRDefault="00D60B76" w:rsidP="007B6532">
            <w:pPr>
              <w:spacing w:before="40" w:after="40"/>
              <w:jc w:val="both"/>
              <w:rPr>
                <w:b/>
                <w:bCs/>
              </w:rPr>
            </w:pPr>
          </w:p>
          <w:p w14:paraId="169C563F" w14:textId="046C2CC8" w:rsidR="00D60B76" w:rsidRPr="00D60B76" w:rsidRDefault="00D60B76" w:rsidP="007B6532">
            <w:pPr>
              <w:spacing w:before="40" w:after="40"/>
              <w:jc w:val="both"/>
              <w:rPr>
                <w:b/>
                <w:bCs/>
              </w:rPr>
            </w:pPr>
            <w:r w:rsidRPr="00D60B76">
              <w:rPr>
                <w:b/>
                <w:bCs/>
              </w:rPr>
              <w:t>Regular review means reviewing on a periodic basis to be determined by Program in consultation with the Contractor or upon Program’s request.</w:t>
            </w:r>
          </w:p>
        </w:tc>
      </w:tr>
      <w:tr w:rsidR="00D60B76" w:rsidRPr="004936F0" w14:paraId="721DD6E0" w14:textId="4656DA5C" w:rsidTr="00D60B76">
        <w:tc>
          <w:tcPr>
            <w:tcW w:w="462" w:type="dxa"/>
            <w:shd w:val="clear" w:color="auto" w:fill="D9D9D9" w:themeFill="background1" w:themeFillShade="D9"/>
          </w:tcPr>
          <w:p w14:paraId="1433BF02" w14:textId="69577041" w:rsidR="00D60B76" w:rsidRPr="004936F0" w:rsidRDefault="00D60B76" w:rsidP="001C163E">
            <w:pPr>
              <w:spacing w:before="40" w:after="40"/>
              <w:rPr>
                <w:b/>
                <w:bCs/>
              </w:rPr>
            </w:pPr>
            <w:r w:rsidRPr="004936F0">
              <w:rPr>
                <w:b/>
                <w:bCs/>
                <w:color w:val="000000"/>
              </w:rPr>
              <w:t>28</w:t>
            </w:r>
          </w:p>
        </w:tc>
        <w:tc>
          <w:tcPr>
            <w:tcW w:w="1696" w:type="dxa"/>
          </w:tcPr>
          <w:p w14:paraId="203370D7" w14:textId="7C207BE6" w:rsidR="00D60B76" w:rsidRPr="00D60B76" w:rsidRDefault="00D60B76" w:rsidP="001C163E">
            <w:pPr>
              <w:spacing w:before="40" w:after="40"/>
              <w:rPr>
                <w:color w:val="333333"/>
              </w:rPr>
            </w:pPr>
            <w:r w:rsidRPr="00D60B76">
              <w:t>2.1.4.1.1. Program Informational Materials</w:t>
            </w:r>
          </w:p>
        </w:tc>
        <w:tc>
          <w:tcPr>
            <w:tcW w:w="717" w:type="dxa"/>
          </w:tcPr>
          <w:p w14:paraId="707CBC06" w14:textId="053E1800" w:rsidR="00D60B76" w:rsidRPr="00D60B76" w:rsidRDefault="00D60B76" w:rsidP="001C163E">
            <w:pPr>
              <w:spacing w:before="40" w:after="40"/>
              <w:rPr>
                <w:color w:val="333333"/>
              </w:rPr>
            </w:pPr>
            <w:r w:rsidRPr="00D60B76">
              <w:t>22</w:t>
            </w:r>
          </w:p>
        </w:tc>
        <w:tc>
          <w:tcPr>
            <w:tcW w:w="5670" w:type="dxa"/>
          </w:tcPr>
          <w:p w14:paraId="28CBD099" w14:textId="72C0586E" w:rsidR="00D60B76" w:rsidRPr="00D60B76" w:rsidRDefault="00D60B76" w:rsidP="007B6532">
            <w:pPr>
              <w:spacing w:before="40" w:after="40"/>
              <w:jc w:val="both"/>
              <w:rPr>
                <w:color w:val="333333"/>
              </w:rPr>
            </w:pPr>
            <w:r w:rsidRPr="00D60B76">
              <w:t>As a fiduciary we are not allowed to make financial recommendations. Is this a requirement that [Potential Bidder] has to fulfill or could we potentially partner with a 3rd party to fulfill this requirement?</w:t>
            </w:r>
          </w:p>
        </w:tc>
        <w:tc>
          <w:tcPr>
            <w:tcW w:w="5760" w:type="dxa"/>
            <w:shd w:val="clear" w:color="auto" w:fill="auto"/>
          </w:tcPr>
          <w:p w14:paraId="2E0E3541" w14:textId="4A6BDE9E" w:rsidR="00D60B76" w:rsidRPr="00D60B76" w:rsidRDefault="00D60B76" w:rsidP="007B6532">
            <w:pPr>
              <w:spacing w:before="40" w:after="40"/>
              <w:jc w:val="both"/>
              <w:rPr>
                <w:b/>
                <w:bCs/>
              </w:rPr>
            </w:pPr>
            <w:r w:rsidRPr="00D60B76">
              <w:rPr>
                <w:b/>
                <w:bCs/>
              </w:rPr>
              <w:t>No, the Program Administrator is not expected to make financial recommendations. The Program Informational Materials are prescribed by section 1309 of the Act and do not involve making financial recommendations.</w:t>
            </w:r>
          </w:p>
        </w:tc>
      </w:tr>
      <w:tr w:rsidR="00D60B76" w:rsidRPr="004936F0" w14:paraId="60ECA5D0" w14:textId="68808CD8" w:rsidTr="00D60B76">
        <w:tc>
          <w:tcPr>
            <w:tcW w:w="462" w:type="dxa"/>
            <w:shd w:val="clear" w:color="auto" w:fill="D9D9D9" w:themeFill="background1" w:themeFillShade="D9"/>
          </w:tcPr>
          <w:p w14:paraId="7DC94E86" w14:textId="5A7A6B31" w:rsidR="00D60B76" w:rsidRPr="004936F0" w:rsidRDefault="00D60B76" w:rsidP="001C163E">
            <w:pPr>
              <w:spacing w:before="40" w:after="40"/>
              <w:rPr>
                <w:b/>
                <w:bCs/>
              </w:rPr>
            </w:pPr>
            <w:r w:rsidRPr="004936F0">
              <w:rPr>
                <w:b/>
                <w:bCs/>
                <w:color w:val="000000"/>
              </w:rPr>
              <w:t>29</w:t>
            </w:r>
          </w:p>
        </w:tc>
        <w:tc>
          <w:tcPr>
            <w:tcW w:w="1696" w:type="dxa"/>
          </w:tcPr>
          <w:p w14:paraId="5B64A939" w14:textId="77777777" w:rsidR="00D60B76" w:rsidRPr="00D60B76" w:rsidRDefault="00D60B76" w:rsidP="001C163E">
            <w:pPr>
              <w:spacing w:before="40" w:after="40"/>
            </w:pPr>
            <w:r w:rsidRPr="00D60B76">
              <w:t>2.1.4.1.3</w:t>
            </w:r>
          </w:p>
          <w:p w14:paraId="2ED67453" w14:textId="3EA13F37" w:rsidR="00D60B76" w:rsidRPr="00D60B76" w:rsidRDefault="00D60B76" w:rsidP="001C163E">
            <w:pPr>
              <w:spacing w:before="40" w:after="40"/>
              <w:rPr>
                <w:color w:val="333333"/>
              </w:rPr>
            </w:pPr>
            <w:r w:rsidRPr="00D60B76">
              <w:t xml:space="preserve">Program Informational Materials </w:t>
            </w:r>
          </w:p>
        </w:tc>
        <w:tc>
          <w:tcPr>
            <w:tcW w:w="717" w:type="dxa"/>
          </w:tcPr>
          <w:p w14:paraId="7439618D" w14:textId="4CC880C6" w:rsidR="00D60B76" w:rsidRPr="00D60B76" w:rsidRDefault="00D60B76" w:rsidP="001C163E">
            <w:pPr>
              <w:spacing w:before="40" w:after="40"/>
              <w:rPr>
                <w:color w:val="333333"/>
              </w:rPr>
            </w:pPr>
            <w:r w:rsidRPr="00D60B76">
              <w:t>22</w:t>
            </w:r>
          </w:p>
        </w:tc>
        <w:tc>
          <w:tcPr>
            <w:tcW w:w="5670" w:type="dxa"/>
          </w:tcPr>
          <w:p w14:paraId="01F9C575" w14:textId="1C18A7C8" w:rsidR="00D60B76" w:rsidRPr="00D60B76" w:rsidRDefault="00D60B76" w:rsidP="007B6532">
            <w:pPr>
              <w:spacing w:before="40" w:after="40"/>
              <w:jc w:val="both"/>
              <w:rPr>
                <w:color w:val="333333"/>
              </w:rPr>
            </w:pPr>
            <w:r w:rsidRPr="00D60B76">
              <w:t>Is it a requirement of the State that our public facing website is also available in Spanish? Is there any flexibility in the timing of meeting this requirement?</w:t>
            </w:r>
          </w:p>
        </w:tc>
        <w:tc>
          <w:tcPr>
            <w:tcW w:w="5760" w:type="dxa"/>
            <w:shd w:val="clear" w:color="auto" w:fill="auto"/>
          </w:tcPr>
          <w:p w14:paraId="6618CFE6" w14:textId="3AB75C80" w:rsidR="00D60B76" w:rsidRPr="00D60B76" w:rsidRDefault="00D60B76" w:rsidP="007B6532">
            <w:pPr>
              <w:spacing w:before="40" w:after="40"/>
              <w:jc w:val="both"/>
              <w:rPr>
                <w:b/>
                <w:bCs/>
              </w:rPr>
            </w:pPr>
            <w:r w:rsidRPr="00D60B76">
              <w:rPr>
                <w:b/>
                <w:bCs/>
              </w:rPr>
              <w:t xml:space="preserve">The Program expects all Informational Materials posted to the public facing website to be made available in, at a minimum, English and Spanish. </w:t>
            </w:r>
          </w:p>
        </w:tc>
      </w:tr>
      <w:tr w:rsidR="00D60B76" w:rsidRPr="004936F0" w14:paraId="5D190901" w14:textId="1C58E742" w:rsidTr="00D60B76">
        <w:tc>
          <w:tcPr>
            <w:tcW w:w="462" w:type="dxa"/>
            <w:shd w:val="clear" w:color="auto" w:fill="D9D9D9" w:themeFill="background1" w:themeFillShade="D9"/>
          </w:tcPr>
          <w:p w14:paraId="1E5C0909" w14:textId="256F2120" w:rsidR="00D60B76" w:rsidRPr="004936F0" w:rsidRDefault="00D60B76" w:rsidP="001C163E">
            <w:pPr>
              <w:spacing w:before="40" w:after="40"/>
              <w:rPr>
                <w:b/>
                <w:bCs/>
              </w:rPr>
            </w:pPr>
            <w:bookmarkStart w:id="2" w:name="_Hlk140064311"/>
            <w:r w:rsidRPr="004936F0">
              <w:rPr>
                <w:b/>
                <w:bCs/>
                <w:color w:val="000000"/>
              </w:rPr>
              <w:t>30</w:t>
            </w:r>
          </w:p>
        </w:tc>
        <w:tc>
          <w:tcPr>
            <w:tcW w:w="1696" w:type="dxa"/>
          </w:tcPr>
          <w:p w14:paraId="4BD3666D" w14:textId="7EA98C85" w:rsidR="00D60B76" w:rsidRPr="00D60B76" w:rsidRDefault="00D60B76" w:rsidP="001C163E">
            <w:pPr>
              <w:spacing w:before="40" w:after="40"/>
            </w:pPr>
            <w:r w:rsidRPr="00D60B76">
              <w:t>Request for Proposal Sections 2.2</w:t>
            </w:r>
          </w:p>
        </w:tc>
        <w:tc>
          <w:tcPr>
            <w:tcW w:w="717" w:type="dxa"/>
          </w:tcPr>
          <w:p w14:paraId="080D3A5E" w14:textId="651E1AA8" w:rsidR="00D60B76" w:rsidRPr="00D60B76" w:rsidRDefault="00D60B76" w:rsidP="001C163E">
            <w:pPr>
              <w:pStyle w:val="TableParagraph"/>
              <w:spacing w:before="40" w:after="40"/>
            </w:pPr>
            <w:r w:rsidRPr="00D60B76">
              <w:t>24 – 26</w:t>
            </w:r>
          </w:p>
        </w:tc>
        <w:tc>
          <w:tcPr>
            <w:tcW w:w="5670" w:type="dxa"/>
          </w:tcPr>
          <w:p w14:paraId="0CFAF842" w14:textId="77777777" w:rsidR="00D60B76" w:rsidRPr="00D60B76" w:rsidRDefault="00D60B76" w:rsidP="007B6532">
            <w:pPr>
              <w:pStyle w:val="TableParagraph"/>
              <w:spacing w:before="40" w:after="200"/>
              <w:ind w:right="305"/>
              <w:jc w:val="both"/>
            </w:pPr>
            <w:r w:rsidRPr="00D60B76">
              <w:t>We have several contracts in place with the State of New York and believe we can work with the State to reach agreement on the final terms.</w:t>
            </w:r>
          </w:p>
          <w:p w14:paraId="4E0A3083" w14:textId="77777777" w:rsidR="00D60B76" w:rsidRPr="00D60B76" w:rsidRDefault="00D60B76" w:rsidP="007B6532">
            <w:pPr>
              <w:pStyle w:val="TableParagraph"/>
              <w:spacing w:before="40" w:after="120"/>
              <w:ind w:right="117"/>
              <w:jc w:val="both"/>
            </w:pPr>
            <w:r w:rsidRPr="00D60B76">
              <w:t xml:space="preserve">Given the nature of the Secure Choice program, we are proposing mutual funds. These vehicles are governed by the applicable mutual funds’ registration statements and subject to the Investment Company Act of 1940. What type of agreement does the State propose to use to contract for “investment management services” in this instance if mutual funds are being proposed? Would it be possible to see a form of the proposed </w:t>
            </w:r>
            <w:r w:rsidRPr="00D60B76">
              <w:lastRenderedPageBreak/>
              <w:t>agreement? Given that we are proposing mutual funds, we would look to work with the State to ensure that the specific language in the Agreement is in line with the products proposed and consistent with requirements under Federal securities laws. As examples, we note the following items listed in Section 2.2:</w:t>
            </w:r>
          </w:p>
          <w:p w14:paraId="63DDC9A8" w14:textId="77777777" w:rsidR="00D60B76" w:rsidRPr="00D60B76" w:rsidRDefault="00D60B76" w:rsidP="007B6532">
            <w:pPr>
              <w:pStyle w:val="TableParagraph"/>
              <w:numPr>
                <w:ilvl w:val="0"/>
                <w:numId w:val="2"/>
              </w:numPr>
              <w:tabs>
                <w:tab w:val="left" w:pos="828"/>
                <w:tab w:val="left" w:pos="829"/>
              </w:tabs>
              <w:spacing w:before="40" w:after="40"/>
              <w:ind w:right="245"/>
              <w:jc w:val="both"/>
            </w:pPr>
            <w:r w:rsidRPr="00D60B76">
              <w:t>Investment Management Services must be in compliance with the Board-approved Investment Policy Statement</w:t>
            </w:r>
          </w:p>
          <w:p w14:paraId="4E8E1FCD" w14:textId="77777777" w:rsidR="00D60B76" w:rsidRPr="00D60B76" w:rsidRDefault="00D60B76" w:rsidP="007B6532">
            <w:pPr>
              <w:pStyle w:val="TableParagraph"/>
              <w:numPr>
                <w:ilvl w:val="1"/>
                <w:numId w:val="2"/>
              </w:numPr>
              <w:tabs>
                <w:tab w:val="left" w:pos="1549"/>
              </w:tabs>
              <w:spacing w:before="40" w:after="40"/>
              <w:ind w:right="246"/>
              <w:jc w:val="both"/>
              <w:rPr>
                <w:i/>
              </w:rPr>
            </w:pPr>
            <w:r w:rsidRPr="00D60B76">
              <w:rPr>
                <w:i/>
              </w:rPr>
              <w:t>Note that the mutual funds proposed are governed by the funds’ respective registration statements and subject to the Investment Company Act of 1940. This cannot be superseded by any contractual terms.</w:t>
            </w:r>
          </w:p>
          <w:p w14:paraId="3D66D949" w14:textId="77777777" w:rsidR="00D60B76" w:rsidRPr="00D60B76" w:rsidRDefault="00D60B76" w:rsidP="007B6532">
            <w:pPr>
              <w:pStyle w:val="TableParagraph"/>
              <w:numPr>
                <w:ilvl w:val="1"/>
                <w:numId w:val="2"/>
              </w:numPr>
              <w:tabs>
                <w:tab w:val="left" w:pos="1549"/>
              </w:tabs>
              <w:spacing w:before="40" w:after="200"/>
              <w:ind w:right="149"/>
              <w:jc w:val="both"/>
              <w:rPr>
                <w:i/>
              </w:rPr>
            </w:pPr>
            <w:r w:rsidRPr="00D60B76">
              <w:rPr>
                <w:i/>
              </w:rPr>
              <w:t>Further, if there is a change to the IPS, who would be responsible for recommending a new investment option for the Program? Would the State RFP for new investment management services?</w:t>
            </w:r>
          </w:p>
          <w:p w14:paraId="025204E5" w14:textId="77777777" w:rsidR="00D60B76" w:rsidRPr="00D60B76" w:rsidRDefault="00D60B76" w:rsidP="007B6532">
            <w:pPr>
              <w:pStyle w:val="TableParagraph"/>
              <w:numPr>
                <w:ilvl w:val="0"/>
                <w:numId w:val="2"/>
              </w:numPr>
              <w:tabs>
                <w:tab w:val="left" w:pos="828"/>
                <w:tab w:val="left" w:pos="829"/>
              </w:tabs>
              <w:spacing w:before="40" w:after="40"/>
              <w:ind w:right="109"/>
              <w:jc w:val="both"/>
            </w:pPr>
            <w:r w:rsidRPr="00D60B76">
              <w:t>IM Services Contractor(s) must inform the Program, within three business days, about significant matters pertaining to the investment of the Program assets, including, but not limited to changes in ownership, organizational structure, investment strategy, portfolio design, or configuration of the investment team</w:t>
            </w:r>
          </w:p>
          <w:p w14:paraId="1F9280E9" w14:textId="77777777" w:rsidR="00D60B76" w:rsidRPr="00D60B76" w:rsidRDefault="00D60B76" w:rsidP="007B6532">
            <w:pPr>
              <w:pStyle w:val="TableParagraph"/>
              <w:numPr>
                <w:ilvl w:val="1"/>
                <w:numId w:val="2"/>
              </w:numPr>
              <w:tabs>
                <w:tab w:val="left" w:pos="1549"/>
              </w:tabs>
              <w:spacing w:before="40" w:after="200"/>
              <w:ind w:right="101"/>
              <w:jc w:val="both"/>
              <w:rPr>
                <w:i/>
              </w:rPr>
            </w:pPr>
            <w:r w:rsidRPr="00D60B76">
              <w:rPr>
                <w:i/>
              </w:rPr>
              <w:t xml:space="preserve">Given that we are proposing mutual funds, the funds will provide notice of any material changes that may have an impact on the investment strategy in accordance with disclosure requirements applicable to an </w:t>
            </w:r>
            <w:r w:rsidRPr="00D60B76">
              <w:rPr>
                <w:i/>
              </w:rPr>
              <w:lastRenderedPageBreak/>
              <w:t>investment company registered under the Investment Company Act of 1940</w:t>
            </w:r>
          </w:p>
          <w:p w14:paraId="03C2211E" w14:textId="77777777" w:rsidR="00D60B76" w:rsidRPr="00D60B76" w:rsidRDefault="00D60B76" w:rsidP="007B6532">
            <w:pPr>
              <w:pStyle w:val="TableParagraph"/>
              <w:numPr>
                <w:ilvl w:val="0"/>
                <w:numId w:val="2"/>
              </w:numPr>
              <w:tabs>
                <w:tab w:val="left" w:pos="828"/>
                <w:tab w:val="left" w:pos="829"/>
              </w:tabs>
              <w:spacing w:before="40" w:after="40"/>
              <w:ind w:right="109"/>
              <w:jc w:val="both"/>
            </w:pPr>
            <w:r w:rsidRPr="00D60B76">
              <w:t>IM Services Contractor(s) must ensure that the investment options or products may, at the direction of Program personnel, be removed, or replaced with an alternative investment option or product without penalty to Enrollees.</w:t>
            </w:r>
          </w:p>
          <w:p w14:paraId="497D1D8A" w14:textId="3AA13735" w:rsidR="00D60B76" w:rsidRPr="00D60B76" w:rsidRDefault="00D60B76" w:rsidP="007B6532">
            <w:pPr>
              <w:pStyle w:val="TableParagraph"/>
              <w:numPr>
                <w:ilvl w:val="1"/>
                <w:numId w:val="2"/>
              </w:numPr>
              <w:tabs>
                <w:tab w:val="left" w:pos="1549"/>
              </w:tabs>
              <w:spacing w:before="40" w:after="200"/>
              <w:ind w:right="101"/>
              <w:jc w:val="both"/>
              <w:rPr>
                <w:i/>
              </w:rPr>
            </w:pPr>
            <w:r w:rsidRPr="00D60B76">
              <w:rPr>
                <w:i/>
              </w:rPr>
              <w:t xml:space="preserve">Please note that the SEC recently proposed rules to make swing pricing mandatory in mutual </w:t>
            </w:r>
            <w:proofErr w:type="gramStart"/>
            <w:r w:rsidRPr="00D60B76">
              <w:rPr>
                <w:i/>
              </w:rPr>
              <w:t>funds, if</w:t>
            </w:r>
            <w:proofErr w:type="gramEnd"/>
            <w:r w:rsidRPr="00D60B76">
              <w:rPr>
                <w:i/>
              </w:rPr>
              <w:t xml:space="preserve"> certain conditions are met. Would the application of any mandatory swing pricing as required by the SEC be viewed as a “penalty” to Enrollees?</w:t>
            </w:r>
          </w:p>
          <w:p w14:paraId="28422D46" w14:textId="77777777" w:rsidR="00D60B76" w:rsidRPr="00D60B76" w:rsidRDefault="00D60B76" w:rsidP="007B6532">
            <w:pPr>
              <w:pStyle w:val="TableParagraph"/>
              <w:numPr>
                <w:ilvl w:val="0"/>
                <w:numId w:val="4"/>
              </w:numPr>
              <w:tabs>
                <w:tab w:val="left" w:pos="828"/>
                <w:tab w:val="left" w:pos="829"/>
              </w:tabs>
              <w:spacing w:before="40" w:after="40"/>
              <w:ind w:right="341"/>
              <w:jc w:val="both"/>
            </w:pPr>
            <w:r w:rsidRPr="00D60B76">
              <w:t>Provide requested reports to assist the Program in the evaluations and audits of the investment products and the performance of the Program by providing information, including but not limited to, the following:</w:t>
            </w:r>
          </w:p>
          <w:p w14:paraId="0DCF9838" w14:textId="77777777" w:rsidR="00D60B76" w:rsidRPr="00D60B76" w:rsidRDefault="00D60B76" w:rsidP="007B6532">
            <w:pPr>
              <w:pStyle w:val="TableParagraph"/>
              <w:numPr>
                <w:ilvl w:val="1"/>
                <w:numId w:val="4"/>
              </w:numPr>
              <w:tabs>
                <w:tab w:val="left" w:pos="1188"/>
                <w:tab w:val="left" w:pos="1189"/>
              </w:tabs>
              <w:spacing w:before="40" w:after="40"/>
              <w:ind w:right="972"/>
              <w:jc w:val="both"/>
            </w:pPr>
            <w:r w:rsidRPr="00D60B76">
              <w:t>Underlying investment prices over historical periods.</w:t>
            </w:r>
          </w:p>
          <w:p w14:paraId="700F6240" w14:textId="77777777" w:rsidR="00D60B76" w:rsidRPr="00D60B76" w:rsidRDefault="00D60B76" w:rsidP="007B6532">
            <w:pPr>
              <w:pStyle w:val="TableParagraph"/>
              <w:numPr>
                <w:ilvl w:val="1"/>
                <w:numId w:val="4"/>
              </w:numPr>
              <w:tabs>
                <w:tab w:val="left" w:pos="1188"/>
                <w:tab w:val="left" w:pos="1189"/>
              </w:tabs>
              <w:spacing w:before="40" w:after="40"/>
              <w:ind w:hanging="361"/>
              <w:jc w:val="both"/>
            </w:pPr>
            <w:r w:rsidRPr="00D60B76">
              <w:t>Underlying investment composition.</w:t>
            </w:r>
          </w:p>
          <w:p w14:paraId="19391D26" w14:textId="77777777" w:rsidR="00D60B76" w:rsidRPr="00D60B76" w:rsidRDefault="00D60B76" w:rsidP="007B6532">
            <w:pPr>
              <w:pStyle w:val="TableParagraph"/>
              <w:numPr>
                <w:ilvl w:val="1"/>
                <w:numId w:val="4"/>
              </w:numPr>
              <w:tabs>
                <w:tab w:val="left" w:pos="1188"/>
                <w:tab w:val="left" w:pos="1189"/>
              </w:tabs>
              <w:spacing w:before="40" w:after="40"/>
              <w:ind w:right="189"/>
              <w:jc w:val="both"/>
            </w:pPr>
            <w:r w:rsidRPr="00D60B76">
              <w:t>Underlying investment prospectus of each investment</w:t>
            </w:r>
          </w:p>
          <w:p w14:paraId="3F2003DC" w14:textId="55CFC68B" w:rsidR="00D60B76" w:rsidRPr="00D60B76" w:rsidRDefault="00D60B76" w:rsidP="007B6532">
            <w:pPr>
              <w:pStyle w:val="TableParagraph"/>
              <w:spacing w:before="40" w:after="40"/>
              <w:ind w:left="828" w:right="350" w:hanging="361"/>
              <w:jc w:val="both"/>
              <w:rPr>
                <w:i/>
              </w:rPr>
            </w:pPr>
            <w:r w:rsidRPr="00D60B76">
              <w:t xml:space="preserve">o </w:t>
            </w:r>
            <w:r w:rsidRPr="00D60B76">
              <w:tab/>
            </w:r>
            <w:r w:rsidRPr="00D60B76">
              <w:rPr>
                <w:i/>
              </w:rPr>
              <w:t>Does the reference to the “underlying investment prospectus of each investment” refer to the investment in the mutual funds being proposed, or to the investments in the underlying securities made by the mutual funds?</w:t>
            </w:r>
          </w:p>
          <w:p w14:paraId="37C0EBEB" w14:textId="77777777" w:rsidR="00D60B76" w:rsidRPr="00D60B76" w:rsidRDefault="00D60B76" w:rsidP="007B6532">
            <w:pPr>
              <w:pStyle w:val="TableParagraph"/>
              <w:numPr>
                <w:ilvl w:val="0"/>
                <w:numId w:val="3"/>
              </w:numPr>
              <w:tabs>
                <w:tab w:val="left" w:pos="725"/>
                <w:tab w:val="left" w:pos="726"/>
              </w:tabs>
              <w:spacing w:before="200" w:after="120"/>
              <w:ind w:right="127"/>
              <w:jc w:val="both"/>
            </w:pPr>
            <w:r w:rsidRPr="00D60B76">
              <w:t xml:space="preserve">Maintain prudent risk controls regarding operations risk management, trading risk management and compliance monitoring. Upon </w:t>
            </w:r>
            <w:r w:rsidRPr="00D60B76">
              <w:lastRenderedPageBreak/>
              <w:t>request, provide the State with records concerning such controls.</w:t>
            </w:r>
          </w:p>
          <w:p w14:paraId="16947087" w14:textId="77777777" w:rsidR="00D60B76" w:rsidRPr="00BE08E0" w:rsidRDefault="00D60B76" w:rsidP="007B6532">
            <w:pPr>
              <w:pStyle w:val="TableParagraph"/>
              <w:spacing w:before="40" w:after="200"/>
              <w:ind w:left="725" w:right="258"/>
              <w:jc w:val="both"/>
              <w:rPr>
                <w:b/>
                <w:bCs/>
                <w:i/>
              </w:rPr>
            </w:pPr>
            <w:r w:rsidRPr="00D60B76">
              <w:rPr>
                <w:i/>
              </w:rPr>
              <w:t xml:space="preserve">What form would such records concerning the controls take? Would the State and the Investment Manager be able to work together to ensure that the form of records is in a form </w:t>
            </w:r>
            <w:r w:rsidRPr="00BE08E0">
              <w:rPr>
                <w:i/>
              </w:rPr>
              <w:t>acceptable to all parties, and does not otherwise compromise the proprietary information of the Investment Manager?</w:t>
            </w:r>
          </w:p>
          <w:p w14:paraId="4BDE844B" w14:textId="5D34ADD1" w:rsidR="00D60B76" w:rsidRPr="00D60B76" w:rsidRDefault="00D60B76" w:rsidP="007B6532">
            <w:pPr>
              <w:pStyle w:val="TableParagraph"/>
              <w:spacing w:before="40" w:after="200"/>
              <w:ind w:left="725" w:right="258"/>
              <w:jc w:val="both"/>
              <w:rPr>
                <w:iCs/>
              </w:rPr>
            </w:pPr>
            <w:r w:rsidRPr="00BE08E0">
              <w:rPr>
                <w:b/>
                <w:bCs/>
                <w:iCs/>
              </w:rPr>
              <w:t>[The Program has omitted extraneous material from this submission that did not pose any questions for response.]</w:t>
            </w:r>
          </w:p>
        </w:tc>
        <w:tc>
          <w:tcPr>
            <w:tcW w:w="5760" w:type="dxa"/>
            <w:shd w:val="clear" w:color="auto" w:fill="auto"/>
          </w:tcPr>
          <w:p w14:paraId="1C58730A" w14:textId="199D563A" w:rsidR="00D60B76" w:rsidRPr="00D60B76" w:rsidRDefault="00D60B76" w:rsidP="007B6532">
            <w:pPr>
              <w:spacing w:before="40" w:after="40"/>
              <w:jc w:val="both"/>
              <w:rPr>
                <w:b/>
                <w:bCs/>
              </w:rPr>
            </w:pPr>
            <w:r w:rsidRPr="00D60B76">
              <w:rPr>
                <w:b/>
                <w:bCs/>
              </w:rPr>
              <w:lastRenderedPageBreak/>
              <w:t xml:space="preserve">Any such agreement will be negotiated with the Contractor to ensure it is in line with the products proposed and consistent with requirements under </w:t>
            </w:r>
            <w:r w:rsidR="00A85214">
              <w:rPr>
                <w:b/>
                <w:bCs/>
              </w:rPr>
              <w:t>Applicable Law</w:t>
            </w:r>
            <w:r w:rsidRPr="00D60B76">
              <w:rPr>
                <w:b/>
                <w:bCs/>
              </w:rPr>
              <w:t xml:space="preserve">. </w:t>
            </w:r>
          </w:p>
          <w:p w14:paraId="68AB98BE" w14:textId="77777777" w:rsidR="00D60B76" w:rsidRPr="00D60B76" w:rsidRDefault="00D60B76" w:rsidP="007B6532">
            <w:pPr>
              <w:spacing w:before="40" w:after="40"/>
              <w:jc w:val="both"/>
              <w:rPr>
                <w:b/>
                <w:bCs/>
              </w:rPr>
            </w:pPr>
          </w:p>
          <w:p w14:paraId="295C6429" w14:textId="77777777" w:rsidR="00D60B76" w:rsidRPr="00D60B76" w:rsidRDefault="00D60B76" w:rsidP="007B6532">
            <w:pPr>
              <w:spacing w:before="40" w:after="40"/>
              <w:jc w:val="both"/>
              <w:rPr>
                <w:b/>
                <w:bCs/>
              </w:rPr>
            </w:pPr>
          </w:p>
          <w:p w14:paraId="09FD17B2" w14:textId="77777777" w:rsidR="00D60B76" w:rsidRPr="00D60B76" w:rsidRDefault="00D60B76" w:rsidP="007B6532">
            <w:pPr>
              <w:spacing w:before="40" w:after="40"/>
              <w:jc w:val="both"/>
              <w:rPr>
                <w:b/>
                <w:bCs/>
              </w:rPr>
            </w:pPr>
          </w:p>
          <w:p w14:paraId="292D1E74" w14:textId="77777777" w:rsidR="00D60B76" w:rsidRPr="00D60B76" w:rsidRDefault="00D60B76" w:rsidP="007B6532">
            <w:pPr>
              <w:spacing w:before="40" w:after="40"/>
              <w:jc w:val="both"/>
              <w:rPr>
                <w:b/>
                <w:bCs/>
              </w:rPr>
            </w:pPr>
          </w:p>
          <w:p w14:paraId="74AB2C92" w14:textId="77777777" w:rsidR="00D60B76" w:rsidRPr="00D60B76" w:rsidRDefault="00D60B76" w:rsidP="007B6532">
            <w:pPr>
              <w:spacing w:before="40" w:after="40"/>
              <w:jc w:val="both"/>
              <w:rPr>
                <w:b/>
                <w:bCs/>
              </w:rPr>
            </w:pPr>
          </w:p>
          <w:p w14:paraId="72FDBA33" w14:textId="77777777" w:rsidR="00D60B76" w:rsidRPr="00D60B76" w:rsidRDefault="00D60B76" w:rsidP="007B6532">
            <w:pPr>
              <w:spacing w:before="40" w:after="40"/>
              <w:jc w:val="both"/>
              <w:rPr>
                <w:b/>
                <w:bCs/>
              </w:rPr>
            </w:pPr>
          </w:p>
          <w:p w14:paraId="62B79F32" w14:textId="77777777" w:rsidR="00D60B76" w:rsidRPr="00D60B76" w:rsidRDefault="00D60B76" w:rsidP="007B6532">
            <w:pPr>
              <w:spacing w:before="40" w:after="40"/>
              <w:jc w:val="both"/>
              <w:rPr>
                <w:b/>
                <w:bCs/>
              </w:rPr>
            </w:pPr>
          </w:p>
          <w:p w14:paraId="2B2C5A3C" w14:textId="77777777" w:rsidR="00D60B76" w:rsidRPr="00D60B76" w:rsidRDefault="00D60B76" w:rsidP="007B6532">
            <w:pPr>
              <w:spacing w:before="40" w:after="40"/>
              <w:jc w:val="both"/>
              <w:rPr>
                <w:b/>
                <w:bCs/>
              </w:rPr>
            </w:pPr>
          </w:p>
          <w:p w14:paraId="768B8EB1" w14:textId="77777777" w:rsidR="00D60B76" w:rsidRPr="00D60B76" w:rsidRDefault="00D60B76" w:rsidP="007B6532">
            <w:pPr>
              <w:spacing w:before="40" w:after="40"/>
              <w:jc w:val="both"/>
              <w:rPr>
                <w:b/>
                <w:bCs/>
              </w:rPr>
            </w:pPr>
          </w:p>
          <w:p w14:paraId="612A90D1" w14:textId="77777777" w:rsidR="00D60B76" w:rsidRPr="00D60B76" w:rsidRDefault="00D60B76" w:rsidP="007B6532">
            <w:pPr>
              <w:spacing w:before="40" w:after="40"/>
              <w:jc w:val="both"/>
              <w:rPr>
                <w:b/>
                <w:bCs/>
              </w:rPr>
            </w:pPr>
          </w:p>
          <w:p w14:paraId="318366A8" w14:textId="77777777" w:rsidR="00D60B76" w:rsidRPr="00D60B76" w:rsidRDefault="00D60B76" w:rsidP="007B6532">
            <w:pPr>
              <w:spacing w:before="40" w:after="40"/>
              <w:jc w:val="both"/>
              <w:rPr>
                <w:b/>
                <w:bCs/>
              </w:rPr>
            </w:pPr>
          </w:p>
          <w:p w14:paraId="1997DDF8" w14:textId="77777777" w:rsidR="00D60B76" w:rsidRPr="00D60B76" w:rsidRDefault="00D60B76" w:rsidP="007B6532">
            <w:pPr>
              <w:spacing w:before="40" w:after="40"/>
              <w:jc w:val="both"/>
              <w:rPr>
                <w:b/>
                <w:bCs/>
              </w:rPr>
            </w:pPr>
          </w:p>
          <w:p w14:paraId="00A97038" w14:textId="77777777" w:rsidR="00D60B76" w:rsidRPr="00D60B76" w:rsidRDefault="00D60B76" w:rsidP="007B6532">
            <w:pPr>
              <w:spacing w:before="40" w:after="40"/>
              <w:jc w:val="both"/>
              <w:rPr>
                <w:b/>
                <w:bCs/>
              </w:rPr>
            </w:pPr>
          </w:p>
          <w:p w14:paraId="3E49685D" w14:textId="77777777" w:rsidR="00D60B76" w:rsidRPr="00D60B76" w:rsidRDefault="00D60B76" w:rsidP="007B6532">
            <w:pPr>
              <w:spacing w:before="40" w:after="40"/>
              <w:jc w:val="both"/>
              <w:rPr>
                <w:b/>
                <w:bCs/>
              </w:rPr>
            </w:pPr>
          </w:p>
          <w:p w14:paraId="15CA4F0F" w14:textId="77777777" w:rsidR="00D60B76" w:rsidRPr="00D60B76" w:rsidRDefault="00D60B76" w:rsidP="007B6532">
            <w:pPr>
              <w:spacing w:before="40" w:after="40"/>
              <w:jc w:val="both"/>
              <w:rPr>
                <w:b/>
              </w:rPr>
            </w:pPr>
          </w:p>
          <w:p w14:paraId="28CE5062" w14:textId="77777777" w:rsidR="00D60B76" w:rsidRPr="00D60B76" w:rsidRDefault="00D60B76" w:rsidP="007B6532">
            <w:pPr>
              <w:spacing w:before="40" w:after="40"/>
              <w:jc w:val="both"/>
              <w:rPr>
                <w:b/>
              </w:rPr>
            </w:pPr>
          </w:p>
          <w:p w14:paraId="702017C6" w14:textId="77777777" w:rsidR="00D60B76" w:rsidRPr="00D60B76" w:rsidRDefault="00D60B76" w:rsidP="005022E9">
            <w:pPr>
              <w:spacing w:before="120" w:after="40"/>
              <w:jc w:val="both"/>
              <w:rPr>
                <w:b/>
              </w:rPr>
            </w:pPr>
          </w:p>
          <w:p w14:paraId="10A99851" w14:textId="77777777" w:rsidR="00D60B76" w:rsidRPr="00D60B76" w:rsidRDefault="00D60B76" w:rsidP="007B6532">
            <w:pPr>
              <w:spacing w:before="40" w:after="40"/>
              <w:jc w:val="both"/>
              <w:rPr>
                <w:b/>
              </w:rPr>
            </w:pPr>
          </w:p>
          <w:p w14:paraId="537E84F7" w14:textId="77777777" w:rsidR="00D60B76" w:rsidRPr="00D60B76" w:rsidRDefault="00D60B76" w:rsidP="007B6532">
            <w:pPr>
              <w:spacing w:before="40" w:after="40"/>
              <w:jc w:val="both"/>
              <w:rPr>
                <w:b/>
                <w:bCs/>
              </w:rPr>
            </w:pPr>
          </w:p>
          <w:p w14:paraId="478F8062" w14:textId="77777777" w:rsidR="00D60B76" w:rsidRPr="00D60B76" w:rsidRDefault="00D60B76" w:rsidP="007B6532">
            <w:pPr>
              <w:spacing w:before="40" w:after="40"/>
              <w:jc w:val="both"/>
              <w:rPr>
                <w:b/>
                <w:bCs/>
              </w:rPr>
            </w:pPr>
          </w:p>
          <w:p w14:paraId="6BA635AD" w14:textId="144CA3C1" w:rsidR="00D60B76" w:rsidRPr="00D60B76" w:rsidRDefault="00D60B76" w:rsidP="005022E9">
            <w:pPr>
              <w:spacing w:before="240" w:after="40"/>
              <w:jc w:val="both"/>
              <w:rPr>
                <w:b/>
                <w:bCs/>
              </w:rPr>
            </w:pPr>
            <w:r w:rsidRPr="00D60B76">
              <w:rPr>
                <w:b/>
                <w:bCs/>
              </w:rPr>
              <w:t>The Program expects to work with the Investment Manager</w:t>
            </w:r>
            <w:r w:rsidR="00F27741">
              <w:rPr>
                <w:b/>
                <w:bCs/>
              </w:rPr>
              <w:t>(s)</w:t>
            </w:r>
            <w:r w:rsidRPr="00D60B76">
              <w:rPr>
                <w:b/>
                <w:bCs/>
              </w:rPr>
              <w:t xml:space="preserve"> to ensure investment options offered in the Program are consistent with the IPS. </w:t>
            </w:r>
          </w:p>
          <w:p w14:paraId="036F0C94" w14:textId="77777777" w:rsidR="00D60B76" w:rsidRPr="00D60B76" w:rsidRDefault="00D60B76" w:rsidP="007B6532">
            <w:pPr>
              <w:spacing w:before="40" w:after="40"/>
              <w:jc w:val="both"/>
              <w:rPr>
                <w:b/>
                <w:bCs/>
              </w:rPr>
            </w:pPr>
          </w:p>
          <w:p w14:paraId="4767D75B" w14:textId="77777777" w:rsidR="00D60B76" w:rsidRPr="00D60B76" w:rsidRDefault="00D60B76" w:rsidP="007B6532">
            <w:pPr>
              <w:spacing w:before="40" w:after="40"/>
              <w:jc w:val="both"/>
              <w:rPr>
                <w:b/>
                <w:bCs/>
              </w:rPr>
            </w:pPr>
          </w:p>
          <w:p w14:paraId="08506383" w14:textId="77777777" w:rsidR="00D60B76" w:rsidRPr="00D60B76" w:rsidRDefault="00D60B76" w:rsidP="007B6532">
            <w:pPr>
              <w:spacing w:before="40" w:after="40"/>
              <w:jc w:val="both"/>
              <w:rPr>
                <w:b/>
                <w:bCs/>
              </w:rPr>
            </w:pPr>
          </w:p>
          <w:p w14:paraId="7E8D0642" w14:textId="77777777" w:rsidR="00D60B76" w:rsidRPr="00D60B76" w:rsidRDefault="00D60B76" w:rsidP="007B6532">
            <w:pPr>
              <w:spacing w:before="40" w:after="40"/>
              <w:jc w:val="both"/>
              <w:rPr>
                <w:b/>
                <w:bCs/>
              </w:rPr>
            </w:pPr>
          </w:p>
          <w:p w14:paraId="4E1EEC8A" w14:textId="77777777" w:rsidR="00D60B76" w:rsidRPr="00D60B76" w:rsidRDefault="00D60B76" w:rsidP="007B6532">
            <w:pPr>
              <w:spacing w:before="40" w:after="40"/>
              <w:jc w:val="both"/>
              <w:rPr>
                <w:b/>
                <w:bCs/>
              </w:rPr>
            </w:pPr>
          </w:p>
          <w:p w14:paraId="29B2301C" w14:textId="77777777" w:rsidR="00D60B76" w:rsidRPr="00D60B76" w:rsidRDefault="00D60B76" w:rsidP="007B6532">
            <w:pPr>
              <w:spacing w:before="40" w:after="40"/>
              <w:jc w:val="both"/>
              <w:rPr>
                <w:b/>
                <w:bCs/>
              </w:rPr>
            </w:pPr>
          </w:p>
          <w:p w14:paraId="5854C40C" w14:textId="77777777" w:rsidR="00D60B76" w:rsidRPr="00D60B76" w:rsidRDefault="00D60B76" w:rsidP="007B6532">
            <w:pPr>
              <w:spacing w:before="40" w:after="40"/>
              <w:jc w:val="both"/>
              <w:rPr>
                <w:b/>
                <w:bCs/>
              </w:rPr>
            </w:pPr>
          </w:p>
          <w:p w14:paraId="5C35AF46" w14:textId="77777777" w:rsidR="00D60B76" w:rsidRPr="00D60B76" w:rsidRDefault="00D60B76" w:rsidP="007B6532">
            <w:pPr>
              <w:spacing w:before="40" w:after="40"/>
              <w:jc w:val="both"/>
              <w:rPr>
                <w:b/>
                <w:bCs/>
              </w:rPr>
            </w:pPr>
          </w:p>
          <w:p w14:paraId="2983F6E9" w14:textId="77777777" w:rsidR="00D60B76" w:rsidRPr="00D60B76" w:rsidRDefault="00D60B76" w:rsidP="007B6532">
            <w:pPr>
              <w:spacing w:before="120" w:after="40"/>
              <w:jc w:val="both"/>
              <w:rPr>
                <w:b/>
                <w:bCs/>
              </w:rPr>
            </w:pPr>
          </w:p>
          <w:p w14:paraId="6ADF1CAB" w14:textId="0AE186C7" w:rsidR="00D60B76" w:rsidRPr="00D60B76" w:rsidRDefault="00D60B76" w:rsidP="007B6532">
            <w:pPr>
              <w:spacing w:before="40" w:after="40"/>
              <w:jc w:val="both"/>
              <w:rPr>
                <w:b/>
                <w:bCs/>
              </w:rPr>
            </w:pPr>
            <w:r w:rsidRPr="00D60B76">
              <w:rPr>
                <w:b/>
                <w:bCs/>
              </w:rPr>
              <w:t>The Program expects the Investment Manager</w:t>
            </w:r>
            <w:r w:rsidR="00F27741">
              <w:rPr>
                <w:b/>
                <w:bCs/>
              </w:rPr>
              <w:t>(s)</w:t>
            </w:r>
            <w:r w:rsidRPr="00D60B76">
              <w:rPr>
                <w:b/>
                <w:bCs/>
              </w:rPr>
              <w:t xml:space="preserve"> to proactively reach out directly and inform when a significant update has been released.</w:t>
            </w:r>
          </w:p>
          <w:p w14:paraId="3288469F" w14:textId="77777777" w:rsidR="00D60B76" w:rsidRPr="00D60B76" w:rsidRDefault="00D60B76" w:rsidP="007B6532">
            <w:pPr>
              <w:spacing w:before="40" w:after="40"/>
              <w:jc w:val="both"/>
              <w:rPr>
                <w:b/>
                <w:bCs/>
              </w:rPr>
            </w:pPr>
          </w:p>
          <w:p w14:paraId="774C614D" w14:textId="77777777" w:rsidR="00D60B76" w:rsidRPr="00D60B76" w:rsidRDefault="00D60B76" w:rsidP="007B6532">
            <w:pPr>
              <w:spacing w:before="40" w:after="40"/>
              <w:jc w:val="both"/>
              <w:rPr>
                <w:b/>
                <w:bCs/>
              </w:rPr>
            </w:pPr>
          </w:p>
          <w:p w14:paraId="34D4F37F" w14:textId="77777777" w:rsidR="00D60B76" w:rsidRPr="00D60B76" w:rsidRDefault="00D60B76" w:rsidP="007B6532">
            <w:pPr>
              <w:spacing w:before="40" w:after="40"/>
              <w:jc w:val="both"/>
              <w:rPr>
                <w:b/>
                <w:bCs/>
              </w:rPr>
            </w:pPr>
          </w:p>
          <w:p w14:paraId="2A437C4B" w14:textId="77777777" w:rsidR="00D60B76" w:rsidRPr="00D60B76" w:rsidRDefault="00D60B76" w:rsidP="007B6532">
            <w:pPr>
              <w:spacing w:before="40" w:after="40"/>
              <w:jc w:val="both"/>
              <w:rPr>
                <w:b/>
                <w:bCs/>
              </w:rPr>
            </w:pPr>
          </w:p>
          <w:p w14:paraId="6345AAA1" w14:textId="77777777" w:rsidR="00D60B76" w:rsidRPr="00D60B76" w:rsidRDefault="00D60B76" w:rsidP="007B6532">
            <w:pPr>
              <w:spacing w:before="40" w:after="40"/>
              <w:jc w:val="both"/>
              <w:rPr>
                <w:b/>
                <w:bCs/>
              </w:rPr>
            </w:pPr>
          </w:p>
          <w:p w14:paraId="5B7AF26D" w14:textId="77777777" w:rsidR="00D60B76" w:rsidRPr="00D60B76" w:rsidRDefault="00D60B76" w:rsidP="007B6532">
            <w:pPr>
              <w:spacing w:before="40" w:after="40"/>
              <w:jc w:val="both"/>
              <w:rPr>
                <w:b/>
                <w:bCs/>
              </w:rPr>
            </w:pPr>
          </w:p>
          <w:p w14:paraId="679EA4FC" w14:textId="77B9C172" w:rsidR="00D60B76" w:rsidRPr="00D60B76" w:rsidRDefault="00D60B76" w:rsidP="007B6532">
            <w:pPr>
              <w:spacing w:before="40" w:after="40"/>
              <w:jc w:val="both"/>
              <w:rPr>
                <w:b/>
                <w:bCs/>
              </w:rPr>
            </w:pPr>
          </w:p>
          <w:p w14:paraId="5760E9C6" w14:textId="77777777" w:rsidR="00D60B76" w:rsidRPr="00D60B76" w:rsidRDefault="00D60B76" w:rsidP="007B6532">
            <w:pPr>
              <w:spacing w:before="40" w:after="40"/>
              <w:jc w:val="both"/>
              <w:rPr>
                <w:b/>
                <w:bCs/>
              </w:rPr>
            </w:pPr>
          </w:p>
          <w:p w14:paraId="3768401D" w14:textId="77777777" w:rsidR="00D60B76" w:rsidRPr="00D60B76" w:rsidRDefault="00D60B76" w:rsidP="005022E9">
            <w:pPr>
              <w:spacing w:before="240" w:after="40"/>
              <w:jc w:val="both"/>
              <w:rPr>
                <w:b/>
                <w:bCs/>
              </w:rPr>
            </w:pPr>
          </w:p>
          <w:p w14:paraId="63BBF8C5" w14:textId="35132702" w:rsidR="00D60B76" w:rsidRPr="00D60B76" w:rsidRDefault="00D60B76" w:rsidP="007B6532">
            <w:pPr>
              <w:spacing w:before="120" w:after="40"/>
              <w:jc w:val="both"/>
              <w:rPr>
                <w:b/>
                <w:bCs/>
              </w:rPr>
            </w:pPr>
            <w:r w:rsidRPr="00D60B76">
              <w:rPr>
                <w:b/>
                <w:bCs/>
              </w:rPr>
              <w:t>Swing pricing would not be viewed as a penalty to Enrollees.</w:t>
            </w:r>
          </w:p>
          <w:p w14:paraId="6350BF89" w14:textId="77777777" w:rsidR="00D60B76" w:rsidRPr="00D60B76" w:rsidRDefault="00D60B76" w:rsidP="007B6532">
            <w:pPr>
              <w:spacing w:before="40" w:after="40"/>
              <w:jc w:val="both"/>
              <w:rPr>
                <w:b/>
                <w:bCs/>
              </w:rPr>
            </w:pPr>
          </w:p>
          <w:p w14:paraId="02FC6762" w14:textId="77777777" w:rsidR="00D60B76" w:rsidRPr="00D60B76" w:rsidRDefault="00D60B76" w:rsidP="007B6532">
            <w:pPr>
              <w:spacing w:before="40" w:after="40"/>
              <w:jc w:val="both"/>
              <w:rPr>
                <w:b/>
                <w:bCs/>
              </w:rPr>
            </w:pPr>
          </w:p>
          <w:p w14:paraId="0D0C7108" w14:textId="77777777" w:rsidR="00D60B76" w:rsidRPr="00D60B76" w:rsidRDefault="00D60B76" w:rsidP="007B6532">
            <w:pPr>
              <w:spacing w:before="40" w:after="40"/>
              <w:jc w:val="both"/>
              <w:rPr>
                <w:b/>
                <w:bCs/>
              </w:rPr>
            </w:pPr>
          </w:p>
          <w:p w14:paraId="3C4CEA79" w14:textId="77777777" w:rsidR="00D60B76" w:rsidRPr="00D60B76" w:rsidRDefault="00D60B76" w:rsidP="007B6532">
            <w:pPr>
              <w:spacing w:before="40" w:after="40"/>
              <w:jc w:val="both"/>
              <w:rPr>
                <w:b/>
                <w:bCs/>
              </w:rPr>
            </w:pPr>
          </w:p>
          <w:p w14:paraId="44C33911" w14:textId="77777777" w:rsidR="00D60B76" w:rsidRPr="00D60B76" w:rsidRDefault="00D60B76" w:rsidP="007B6532">
            <w:pPr>
              <w:spacing w:before="40" w:after="40"/>
              <w:jc w:val="both"/>
              <w:rPr>
                <w:b/>
                <w:bCs/>
              </w:rPr>
            </w:pPr>
          </w:p>
          <w:p w14:paraId="5F45AD31" w14:textId="77777777" w:rsidR="00D60B76" w:rsidRPr="00D60B76" w:rsidRDefault="00D60B76" w:rsidP="007B6532">
            <w:pPr>
              <w:spacing w:before="40" w:after="40"/>
              <w:jc w:val="both"/>
              <w:rPr>
                <w:b/>
                <w:bCs/>
              </w:rPr>
            </w:pPr>
          </w:p>
          <w:p w14:paraId="439936F4" w14:textId="77777777" w:rsidR="00D60B76" w:rsidRPr="00D60B76" w:rsidRDefault="00D60B76" w:rsidP="007B6532">
            <w:pPr>
              <w:spacing w:before="40" w:after="40"/>
              <w:jc w:val="both"/>
              <w:rPr>
                <w:b/>
                <w:bCs/>
              </w:rPr>
            </w:pPr>
          </w:p>
          <w:p w14:paraId="4E930A5A" w14:textId="53D96B8A" w:rsidR="00D60B76" w:rsidRPr="00D60B76" w:rsidRDefault="00D60B76" w:rsidP="007B6532">
            <w:pPr>
              <w:spacing w:before="40" w:after="40"/>
              <w:jc w:val="both"/>
              <w:rPr>
                <w:b/>
                <w:bCs/>
              </w:rPr>
            </w:pPr>
            <w:r w:rsidRPr="00D60B76">
              <w:rPr>
                <w:b/>
                <w:bCs/>
              </w:rPr>
              <w:br/>
            </w:r>
          </w:p>
          <w:p w14:paraId="12AD2D0C" w14:textId="77777777" w:rsidR="00D60B76" w:rsidRPr="00D60B76" w:rsidRDefault="00D60B76" w:rsidP="007B6532">
            <w:pPr>
              <w:spacing w:before="40" w:after="40"/>
              <w:jc w:val="both"/>
              <w:rPr>
                <w:b/>
                <w:bCs/>
              </w:rPr>
            </w:pPr>
          </w:p>
          <w:p w14:paraId="2F6AC52C" w14:textId="77777777" w:rsidR="00D60B76" w:rsidRPr="00D60B76" w:rsidRDefault="00D60B76" w:rsidP="007B6532">
            <w:pPr>
              <w:spacing w:before="40" w:after="40"/>
              <w:jc w:val="both"/>
              <w:rPr>
                <w:b/>
                <w:bCs/>
              </w:rPr>
            </w:pPr>
          </w:p>
          <w:p w14:paraId="5A798AA8" w14:textId="77777777" w:rsidR="00D60B76" w:rsidRPr="00D60B76" w:rsidRDefault="00D60B76" w:rsidP="007B6532">
            <w:pPr>
              <w:spacing w:before="120" w:after="40"/>
              <w:jc w:val="both"/>
              <w:rPr>
                <w:b/>
                <w:bCs/>
              </w:rPr>
            </w:pPr>
          </w:p>
          <w:p w14:paraId="564BCF07" w14:textId="77777777" w:rsidR="00D60B76" w:rsidRPr="00D60B76" w:rsidRDefault="00D60B76" w:rsidP="007B6532">
            <w:pPr>
              <w:spacing w:before="40" w:after="40"/>
              <w:jc w:val="both"/>
              <w:rPr>
                <w:b/>
                <w:bCs/>
              </w:rPr>
            </w:pPr>
          </w:p>
          <w:p w14:paraId="2CFD2FBC" w14:textId="77777777" w:rsidR="00D60B76" w:rsidRPr="00D60B76" w:rsidRDefault="00D60B76" w:rsidP="007B6532">
            <w:pPr>
              <w:spacing w:before="40" w:after="40"/>
              <w:jc w:val="both"/>
              <w:rPr>
                <w:b/>
                <w:bCs/>
              </w:rPr>
            </w:pPr>
          </w:p>
          <w:p w14:paraId="73217D3A" w14:textId="77777777" w:rsidR="00D60B76" w:rsidRPr="00D60B76" w:rsidRDefault="00D60B76" w:rsidP="007B6532">
            <w:pPr>
              <w:pStyle w:val="TableParagraph"/>
              <w:spacing w:before="120"/>
              <w:ind w:right="71"/>
              <w:jc w:val="both"/>
              <w:rPr>
                <w:b/>
                <w:bCs/>
              </w:rPr>
            </w:pPr>
            <w:r w:rsidRPr="00D60B76">
              <w:rPr>
                <w:b/>
                <w:bCs/>
              </w:rPr>
              <w:t xml:space="preserve">These refer to the investment in the mutual funds being proposed. </w:t>
            </w:r>
          </w:p>
          <w:p w14:paraId="6EA74ED9" w14:textId="77777777" w:rsidR="00D60B76" w:rsidRPr="00D60B76" w:rsidRDefault="00D60B76" w:rsidP="007B6532">
            <w:pPr>
              <w:spacing w:before="40" w:after="40"/>
              <w:jc w:val="both"/>
              <w:rPr>
                <w:b/>
                <w:bCs/>
              </w:rPr>
            </w:pPr>
          </w:p>
          <w:p w14:paraId="52C0CB9B" w14:textId="77777777" w:rsidR="00D60B76" w:rsidRPr="00D60B76" w:rsidRDefault="00D60B76" w:rsidP="007B6532">
            <w:pPr>
              <w:spacing w:before="40" w:after="40"/>
              <w:jc w:val="both"/>
              <w:rPr>
                <w:b/>
                <w:bCs/>
              </w:rPr>
            </w:pPr>
          </w:p>
          <w:p w14:paraId="151F5918" w14:textId="77777777" w:rsidR="00D60B76" w:rsidRPr="00D60B76" w:rsidRDefault="00D60B76" w:rsidP="007B6532">
            <w:pPr>
              <w:spacing w:before="40" w:after="40"/>
              <w:jc w:val="both"/>
              <w:rPr>
                <w:b/>
                <w:bCs/>
              </w:rPr>
            </w:pPr>
          </w:p>
          <w:p w14:paraId="7D54A46D" w14:textId="77777777" w:rsidR="00D60B76" w:rsidRPr="00D60B76" w:rsidRDefault="00D60B76" w:rsidP="007B6532">
            <w:pPr>
              <w:spacing w:before="40" w:after="40"/>
              <w:jc w:val="both"/>
              <w:rPr>
                <w:b/>
                <w:bCs/>
              </w:rPr>
            </w:pPr>
          </w:p>
          <w:p w14:paraId="1005AEB5" w14:textId="1293F1D2" w:rsidR="00D60B76" w:rsidRPr="00D60B76" w:rsidRDefault="00D60B76" w:rsidP="007B6532">
            <w:pPr>
              <w:spacing w:before="40" w:after="40"/>
              <w:jc w:val="both"/>
              <w:rPr>
                <w:b/>
                <w:bCs/>
              </w:rPr>
            </w:pPr>
          </w:p>
          <w:p w14:paraId="784C9F4D" w14:textId="77777777" w:rsidR="00D60B76" w:rsidRPr="00D60B76" w:rsidRDefault="00D60B76" w:rsidP="007B6532">
            <w:pPr>
              <w:spacing w:before="40" w:after="40"/>
              <w:jc w:val="both"/>
              <w:rPr>
                <w:b/>
                <w:bCs/>
              </w:rPr>
            </w:pPr>
          </w:p>
          <w:p w14:paraId="3F9AD6C9" w14:textId="77777777" w:rsidR="00D60B76" w:rsidRPr="00D60B76" w:rsidRDefault="00D60B76" w:rsidP="007B6532">
            <w:pPr>
              <w:spacing w:before="40" w:after="40"/>
              <w:jc w:val="both"/>
              <w:rPr>
                <w:b/>
                <w:bCs/>
              </w:rPr>
            </w:pPr>
          </w:p>
          <w:p w14:paraId="4C214D79" w14:textId="77777777" w:rsidR="00D60B76" w:rsidRPr="00D60B76" w:rsidRDefault="00D60B76" w:rsidP="005022E9">
            <w:pPr>
              <w:spacing w:before="40"/>
              <w:jc w:val="both"/>
              <w:rPr>
                <w:b/>
                <w:bCs/>
              </w:rPr>
            </w:pPr>
          </w:p>
          <w:p w14:paraId="0DB56834" w14:textId="59881083" w:rsidR="00D60B76" w:rsidRPr="00D60B76" w:rsidRDefault="00D60B76" w:rsidP="005022E9">
            <w:pPr>
              <w:pStyle w:val="TableParagraph"/>
              <w:spacing w:before="120"/>
              <w:ind w:right="71"/>
              <w:jc w:val="both"/>
              <w:rPr>
                <w:b/>
                <w:bCs/>
              </w:rPr>
            </w:pPr>
            <w:r w:rsidRPr="00D60B76">
              <w:rPr>
                <w:b/>
                <w:bCs/>
              </w:rPr>
              <w:t>Yes, the Program and the Investment Manager</w:t>
            </w:r>
            <w:r w:rsidR="00F27741">
              <w:rPr>
                <w:b/>
                <w:bCs/>
              </w:rPr>
              <w:t>(s)</w:t>
            </w:r>
            <w:r w:rsidRPr="00D60B76">
              <w:rPr>
                <w:b/>
                <w:bCs/>
              </w:rPr>
              <w:t xml:space="preserve"> would work together to ensure such records do not compromise proprietary information. </w:t>
            </w:r>
          </w:p>
          <w:p w14:paraId="5E11A341" w14:textId="77777777" w:rsidR="00D60B76" w:rsidRPr="00D60B76" w:rsidRDefault="00D60B76" w:rsidP="007B6532">
            <w:pPr>
              <w:spacing w:before="40" w:after="40"/>
              <w:jc w:val="both"/>
              <w:rPr>
                <w:b/>
                <w:bCs/>
              </w:rPr>
            </w:pPr>
          </w:p>
          <w:p w14:paraId="373CDA73" w14:textId="506FFB2B" w:rsidR="00D60B76" w:rsidRPr="00D60B76" w:rsidRDefault="00D60B76" w:rsidP="007B6532">
            <w:pPr>
              <w:spacing w:before="40" w:after="40"/>
              <w:jc w:val="both"/>
              <w:rPr>
                <w:b/>
                <w:bCs/>
              </w:rPr>
            </w:pPr>
          </w:p>
          <w:p w14:paraId="3286167A" w14:textId="65CD63E4" w:rsidR="00D60B76" w:rsidRPr="00D60B76" w:rsidRDefault="00D60B76" w:rsidP="007B6532">
            <w:pPr>
              <w:spacing w:before="40" w:after="40"/>
              <w:jc w:val="both"/>
              <w:rPr>
                <w:b/>
                <w:bCs/>
              </w:rPr>
            </w:pPr>
          </w:p>
        </w:tc>
      </w:tr>
      <w:bookmarkEnd w:id="2"/>
      <w:tr w:rsidR="00D60B76" w:rsidRPr="004936F0" w14:paraId="1971E6C2" w14:textId="0AFE4357" w:rsidTr="00D60B76">
        <w:tc>
          <w:tcPr>
            <w:tcW w:w="462" w:type="dxa"/>
            <w:shd w:val="clear" w:color="auto" w:fill="D9D9D9" w:themeFill="background1" w:themeFillShade="D9"/>
          </w:tcPr>
          <w:p w14:paraId="71A205AF" w14:textId="335698CD" w:rsidR="00D60B76" w:rsidRPr="004936F0" w:rsidRDefault="00D60B76" w:rsidP="001C163E">
            <w:pPr>
              <w:spacing w:before="40" w:after="40"/>
              <w:rPr>
                <w:b/>
                <w:bCs/>
              </w:rPr>
            </w:pPr>
            <w:r w:rsidRPr="004936F0">
              <w:rPr>
                <w:b/>
                <w:bCs/>
                <w:color w:val="000000"/>
              </w:rPr>
              <w:lastRenderedPageBreak/>
              <w:t>31</w:t>
            </w:r>
          </w:p>
        </w:tc>
        <w:tc>
          <w:tcPr>
            <w:tcW w:w="1696" w:type="dxa"/>
          </w:tcPr>
          <w:p w14:paraId="6FC104B4" w14:textId="2C43948A" w:rsidR="00D60B76" w:rsidRPr="00D60B76" w:rsidRDefault="00D60B76" w:rsidP="001C163E">
            <w:pPr>
              <w:spacing w:before="40" w:after="40"/>
              <w:rPr>
                <w:color w:val="333333"/>
              </w:rPr>
            </w:pPr>
            <w:r w:rsidRPr="00D60B76">
              <w:t>2.2.1 Investment Management Services Requirements</w:t>
            </w:r>
          </w:p>
        </w:tc>
        <w:tc>
          <w:tcPr>
            <w:tcW w:w="717" w:type="dxa"/>
          </w:tcPr>
          <w:p w14:paraId="5ADE7097" w14:textId="37A63652" w:rsidR="00D60B76" w:rsidRPr="00D60B76" w:rsidRDefault="00D60B76" w:rsidP="001C163E">
            <w:pPr>
              <w:spacing w:before="40" w:after="40"/>
              <w:rPr>
                <w:color w:val="333333"/>
              </w:rPr>
            </w:pPr>
            <w:r w:rsidRPr="00D60B76">
              <w:t>24</w:t>
            </w:r>
          </w:p>
        </w:tc>
        <w:tc>
          <w:tcPr>
            <w:tcW w:w="5670" w:type="dxa"/>
          </w:tcPr>
          <w:p w14:paraId="5CCD3CB7" w14:textId="5BC67DFA" w:rsidR="00D60B76" w:rsidRPr="00D60B76" w:rsidRDefault="00D60B76" w:rsidP="007B6532">
            <w:pPr>
              <w:spacing w:before="40" w:after="40"/>
              <w:jc w:val="both"/>
              <w:rPr>
                <w:color w:val="333333"/>
              </w:rPr>
            </w:pPr>
            <w:r w:rsidRPr="00D60B76">
              <w:t xml:space="preserve">We are the 3(38) </w:t>
            </w:r>
            <w:proofErr w:type="gramStart"/>
            <w:r w:rsidRPr="00D60B76">
              <w:t>fiduciary</w:t>
            </w:r>
            <w:proofErr w:type="gramEnd"/>
            <w:r w:rsidRPr="00D60B76">
              <w:t xml:space="preserve"> on all of our plans and act as the sole investment manager. We would not be able to act on the direction of Program personnel (if this is the state). Is that acceptable to the State?</w:t>
            </w:r>
          </w:p>
        </w:tc>
        <w:tc>
          <w:tcPr>
            <w:tcW w:w="5760" w:type="dxa"/>
            <w:shd w:val="clear" w:color="auto" w:fill="auto"/>
          </w:tcPr>
          <w:p w14:paraId="489F1192" w14:textId="1E6A3EC1" w:rsidR="00D60B76" w:rsidRPr="00D60B76" w:rsidRDefault="00D60B76" w:rsidP="007B6532">
            <w:pPr>
              <w:spacing w:before="40" w:after="40"/>
              <w:jc w:val="both"/>
              <w:rPr>
                <w:b/>
                <w:bCs/>
              </w:rPr>
            </w:pPr>
            <w:r w:rsidRPr="00D60B76">
              <w:rPr>
                <w:b/>
                <w:bCs/>
              </w:rPr>
              <w:t>No, this is not acceptable. The Board determines which investment options are offered in the Program.</w:t>
            </w:r>
          </w:p>
        </w:tc>
      </w:tr>
      <w:tr w:rsidR="00D60B76" w:rsidRPr="004936F0" w14:paraId="2A6B8005" w14:textId="1D37C84B" w:rsidTr="00D60B76">
        <w:tc>
          <w:tcPr>
            <w:tcW w:w="462" w:type="dxa"/>
            <w:shd w:val="clear" w:color="auto" w:fill="D9D9D9" w:themeFill="background1" w:themeFillShade="D9"/>
          </w:tcPr>
          <w:p w14:paraId="41AE565A" w14:textId="1C30B196" w:rsidR="00D60B76" w:rsidRPr="004936F0" w:rsidRDefault="00D60B76" w:rsidP="001C163E">
            <w:pPr>
              <w:spacing w:before="40" w:after="40"/>
              <w:rPr>
                <w:b/>
                <w:bCs/>
              </w:rPr>
            </w:pPr>
            <w:r w:rsidRPr="004936F0">
              <w:rPr>
                <w:b/>
                <w:bCs/>
                <w:color w:val="000000"/>
              </w:rPr>
              <w:t>32</w:t>
            </w:r>
          </w:p>
        </w:tc>
        <w:tc>
          <w:tcPr>
            <w:tcW w:w="1696" w:type="dxa"/>
          </w:tcPr>
          <w:p w14:paraId="5833852C" w14:textId="7757B407" w:rsidR="00D60B76" w:rsidRPr="00D60B76" w:rsidRDefault="00D60B76" w:rsidP="001C163E">
            <w:pPr>
              <w:spacing w:before="40" w:after="40"/>
              <w:rPr>
                <w:color w:val="333333"/>
              </w:rPr>
            </w:pPr>
            <w:r w:rsidRPr="00D60B76">
              <w:t>3. Qualifying Requirements</w:t>
            </w:r>
          </w:p>
        </w:tc>
        <w:tc>
          <w:tcPr>
            <w:tcW w:w="717" w:type="dxa"/>
          </w:tcPr>
          <w:p w14:paraId="4B88D7F4" w14:textId="7AA26773" w:rsidR="00D60B76" w:rsidRPr="00D60B76" w:rsidRDefault="00D60B76" w:rsidP="001C163E">
            <w:pPr>
              <w:spacing w:before="40" w:after="40"/>
              <w:rPr>
                <w:color w:val="333333"/>
              </w:rPr>
            </w:pPr>
            <w:r w:rsidRPr="00D60B76">
              <w:t>27</w:t>
            </w:r>
          </w:p>
        </w:tc>
        <w:tc>
          <w:tcPr>
            <w:tcW w:w="5670" w:type="dxa"/>
          </w:tcPr>
          <w:p w14:paraId="48A65F34" w14:textId="77777777" w:rsidR="00D60B76" w:rsidRPr="00D60B76" w:rsidRDefault="00D60B76" w:rsidP="007B6532">
            <w:pPr>
              <w:spacing w:before="40" w:after="40"/>
              <w:jc w:val="both"/>
            </w:pPr>
            <w:r w:rsidRPr="00D60B76">
              <w:t xml:space="preserve">As we haven’t met all requirements, is 5/31/23 a hard deadline? </w:t>
            </w:r>
          </w:p>
          <w:p w14:paraId="41A743E6" w14:textId="77777777" w:rsidR="00D60B76" w:rsidRPr="00D60B76" w:rsidRDefault="00D60B76" w:rsidP="007B6532">
            <w:pPr>
              <w:spacing w:before="40" w:after="40"/>
              <w:jc w:val="both"/>
            </w:pPr>
          </w:p>
          <w:p w14:paraId="1008F0B6" w14:textId="319F26FB" w:rsidR="00D60B76" w:rsidRPr="00D60B76" w:rsidRDefault="00D60B76" w:rsidP="007B6532">
            <w:pPr>
              <w:spacing w:before="40" w:after="40"/>
              <w:jc w:val="both"/>
              <w:rPr>
                <w:color w:val="333333"/>
              </w:rPr>
            </w:pPr>
            <w:r w:rsidRPr="00D60B76">
              <w:t>If there is flexibility, what date would all requirements need to be met?</w:t>
            </w:r>
          </w:p>
        </w:tc>
        <w:tc>
          <w:tcPr>
            <w:tcW w:w="5760" w:type="dxa"/>
            <w:shd w:val="clear" w:color="auto" w:fill="auto"/>
          </w:tcPr>
          <w:p w14:paraId="615469E3" w14:textId="58AA869E" w:rsidR="00D60B76" w:rsidRPr="00D60B76" w:rsidRDefault="00D60B76" w:rsidP="007B6532">
            <w:pPr>
              <w:spacing w:before="40" w:after="40"/>
              <w:jc w:val="both"/>
              <w:rPr>
                <w:b/>
                <w:bCs/>
              </w:rPr>
            </w:pPr>
            <w:r w:rsidRPr="00D60B76">
              <w:rPr>
                <w:b/>
                <w:bCs/>
              </w:rPr>
              <w:t>Yes</w:t>
            </w:r>
            <w:r w:rsidR="00A85214">
              <w:rPr>
                <w:b/>
                <w:bCs/>
              </w:rPr>
              <w:t>,</w:t>
            </w:r>
            <w:r w:rsidRPr="00D60B76">
              <w:rPr>
                <w:b/>
                <w:bCs/>
              </w:rPr>
              <w:t xml:space="preserve"> 5/31/23 is a hard deadline. </w:t>
            </w:r>
          </w:p>
          <w:p w14:paraId="0443347C" w14:textId="256AB486" w:rsidR="00D60B76" w:rsidRDefault="00D60B76" w:rsidP="007B6532">
            <w:pPr>
              <w:spacing w:before="40" w:after="40"/>
              <w:jc w:val="both"/>
              <w:rPr>
                <w:b/>
                <w:bCs/>
              </w:rPr>
            </w:pPr>
          </w:p>
          <w:p w14:paraId="099C46E9" w14:textId="77777777" w:rsidR="00BE08E0" w:rsidRPr="00D60B76" w:rsidRDefault="00BE08E0" w:rsidP="007B6532">
            <w:pPr>
              <w:jc w:val="both"/>
              <w:rPr>
                <w:b/>
                <w:bCs/>
              </w:rPr>
            </w:pPr>
          </w:p>
          <w:p w14:paraId="42073AE7" w14:textId="39D117FD" w:rsidR="00D60B76" w:rsidRPr="00D60B76" w:rsidRDefault="00D60B76" w:rsidP="007B6532">
            <w:pPr>
              <w:spacing w:after="40"/>
              <w:jc w:val="both"/>
              <w:rPr>
                <w:b/>
                <w:bCs/>
              </w:rPr>
            </w:pPr>
            <w:r w:rsidRPr="00D60B76">
              <w:rPr>
                <w:b/>
                <w:bCs/>
              </w:rPr>
              <w:t>Except as otherwise noted in Section 3.2.2, Bidders must satisfy each applicable Qualifying Requirement as of May 31, 2023.</w:t>
            </w:r>
          </w:p>
        </w:tc>
      </w:tr>
      <w:tr w:rsidR="00D60B76" w:rsidRPr="004936F0" w14:paraId="5FF33F8E" w14:textId="591115D1" w:rsidTr="00D60B76">
        <w:tc>
          <w:tcPr>
            <w:tcW w:w="462" w:type="dxa"/>
            <w:shd w:val="clear" w:color="auto" w:fill="D9D9D9" w:themeFill="background1" w:themeFillShade="D9"/>
          </w:tcPr>
          <w:p w14:paraId="791AF9F5" w14:textId="13199B6A" w:rsidR="00D60B76" w:rsidRPr="004936F0" w:rsidRDefault="00D60B76" w:rsidP="001C163E">
            <w:pPr>
              <w:spacing w:before="40" w:after="40"/>
              <w:rPr>
                <w:b/>
                <w:bCs/>
              </w:rPr>
            </w:pPr>
            <w:r w:rsidRPr="004936F0">
              <w:rPr>
                <w:b/>
                <w:bCs/>
                <w:color w:val="000000"/>
              </w:rPr>
              <w:t>33</w:t>
            </w:r>
          </w:p>
        </w:tc>
        <w:tc>
          <w:tcPr>
            <w:tcW w:w="1696" w:type="dxa"/>
          </w:tcPr>
          <w:p w14:paraId="1AF42A69" w14:textId="5A2E17F3" w:rsidR="00D60B76" w:rsidRPr="00D60B76" w:rsidRDefault="00D60B76" w:rsidP="001C163E">
            <w:pPr>
              <w:spacing w:before="40" w:after="40"/>
              <w:rPr>
                <w:color w:val="333333"/>
              </w:rPr>
            </w:pPr>
            <w:r w:rsidRPr="00D60B76">
              <w:t>3.1 Program Administration Qualifying Requirements</w:t>
            </w:r>
          </w:p>
        </w:tc>
        <w:tc>
          <w:tcPr>
            <w:tcW w:w="717" w:type="dxa"/>
          </w:tcPr>
          <w:p w14:paraId="240BC21B" w14:textId="35599C1F" w:rsidR="00D60B76" w:rsidRPr="00D60B76" w:rsidRDefault="00D60B76" w:rsidP="001C163E">
            <w:pPr>
              <w:spacing w:before="40" w:after="40"/>
              <w:rPr>
                <w:color w:val="333333"/>
              </w:rPr>
            </w:pPr>
            <w:r w:rsidRPr="00D60B76">
              <w:t>27</w:t>
            </w:r>
          </w:p>
        </w:tc>
        <w:tc>
          <w:tcPr>
            <w:tcW w:w="5670" w:type="dxa"/>
          </w:tcPr>
          <w:p w14:paraId="760D15CD" w14:textId="77777777" w:rsidR="00D60B76" w:rsidRPr="00D60B76" w:rsidRDefault="00D60B76" w:rsidP="007B6532">
            <w:pPr>
              <w:spacing w:before="40" w:after="200"/>
              <w:jc w:val="both"/>
            </w:pPr>
            <w:r w:rsidRPr="00D60B76">
              <w:t>We are not a broker dealer or transfer agent - does this disqualify us?</w:t>
            </w:r>
          </w:p>
          <w:p w14:paraId="2A4965A9" w14:textId="7722A16D" w:rsidR="00D60B76" w:rsidRPr="00D60B76" w:rsidRDefault="00D60B76" w:rsidP="007B6532">
            <w:pPr>
              <w:spacing w:before="40" w:after="40"/>
              <w:jc w:val="both"/>
              <w:rPr>
                <w:color w:val="333333"/>
              </w:rPr>
            </w:pPr>
            <w:r w:rsidRPr="00D60B76">
              <w:t>We have not designed and implemented two state-sponsored savings programs or public sector defined contribution plans - does this disqualify us?</w:t>
            </w:r>
          </w:p>
        </w:tc>
        <w:tc>
          <w:tcPr>
            <w:tcW w:w="5760" w:type="dxa"/>
            <w:shd w:val="clear" w:color="auto" w:fill="auto"/>
          </w:tcPr>
          <w:p w14:paraId="03E671EB" w14:textId="6F2F610A" w:rsidR="00D60B76" w:rsidRPr="00D60B76" w:rsidRDefault="00D60B76" w:rsidP="007B6532">
            <w:pPr>
              <w:spacing w:before="40" w:after="40"/>
              <w:jc w:val="both"/>
              <w:rPr>
                <w:b/>
                <w:bCs/>
              </w:rPr>
            </w:pPr>
            <w:r w:rsidRPr="00D60B76">
              <w:rPr>
                <w:b/>
                <w:bCs/>
              </w:rPr>
              <w:t>All requirements to be qualified to bid on the PA portion of this RFP are set forth in Section 3.1. Program Administration Qualifying Requirements. If an entity cannot demonstrate that it meets all requirements set forth, then it would not be qualified and should not submit a Proposal.</w:t>
            </w:r>
          </w:p>
          <w:p w14:paraId="5CCDD863" w14:textId="66346A7F" w:rsidR="00D60B76" w:rsidRPr="00D60B76" w:rsidRDefault="00D60B76" w:rsidP="007B6532">
            <w:pPr>
              <w:spacing w:before="40" w:after="40"/>
              <w:jc w:val="both"/>
              <w:rPr>
                <w:b/>
                <w:bCs/>
              </w:rPr>
            </w:pPr>
          </w:p>
        </w:tc>
      </w:tr>
      <w:tr w:rsidR="00D60B76" w:rsidRPr="004936F0" w14:paraId="1CE07422" w14:textId="3F4E7155" w:rsidTr="00D60B76">
        <w:tc>
          <w:tcPr>
            <w:tcW w:w="462" w:type="dxa"/>
            <w:shd w:val="clear" w:color="auto" w:fill="D9D9D9" w:themeFill="background1" w:themeFillShade="D9"/>
          </w:tcPr>
          <w:p w14:paraId="11DA1284" w14:textId="586BF5C4" w:rsidR="00D60B76" w:rsidRPr="004936F0" w:rsidRDefault="00D60B76" w:rsidP="001C163E">
            <w:pPr>
              <w:spacing w:before="40" w:after="40"/>
              <w:rPr>
                <w:b/>
                <w:bCs/>
              </w:rPr>
            </w:pPr>
            <w:r w:rsidRPr="004936F0">
              <w:rPr>
                <w:b/>
                <w:bCs/>
                <w:color w:val="000000"/>
              </w:rPr>
              <w:t>34</w:t>
            </w:r>
          </w:p>
        </w:tc>
        <w:tc>
          <w:tcPr>
            <w:tcW w:w="1696" w:type="dxa"/>
          </w:tcPr>
          <w:p w14:paraId="760502F4" w14:textId="0697D799" w:rsidR="00D60B76" w:rsidRPr="00D60B76" w:rsidRDefault="00D60B76" w:rsidP="001C163E">
            <w:pPr>
              <w:spacing w:before="40" w:after="40"/>
              <w:rPr>
                <w:color w:val="333333"/>
              </w:rPr>
            </w:pPr>
            <w:r w:rsidRPr="00D60B76">
              <w:t xml:space="preserve">3.2.2. Investment Management </w:t>
            </w:r>
            <w:r w:rsidRPr="00D60B76">
              <w:lastRenderedPageBreak/>
              <w:t>Qualifying Requirements</w:t>
            </w:r>
          </w:p>
        </w:tc>
        <w:tc>
          <w:tcPr>
            <w:tcW w:w="717" w:type="dxa"/>
          </w:tcPr>
          <w:p w14:paraId="394F42E7" w14:textId="0A36CBF2" w:rsidR="00D60B76" w:rsidRPr="00D60B76" w:rsidRDefault="00D60B76" w:rsidP="001C163E">
            <w:pPr>
              <w:spacing w:before="40" w:after="40"/>
              <w:rPr>
                <w:color w:val="333333"/>
              </w:rPr>
            </w:pPr>
            <w:r w:rsidRPr="00D60B76">
              <w:lastRenderedPageBreak/>
              <w:t>27</w:t>
            </w:r>
          </w:p>
        </w:tc>
        <w:tc>
          <w:tcPr>
            <w:tcW w:w="5670" w:type="dxa"/>
          </w:tcPr>
          <w:p w14:paraId="455ACFEE" w14:textId="3025F879" w:rsidR="00D60B76" w:rsidRPr="00D60B76" w:rsidRDefault="00D60B76" w:rsidP="007B6532">
            <w:pPr>
              <w:spacing w:before="40" w:after="40"/>
              <w:jc w:val="both"/>
              <w:rPr>
                <w:color w:val="333333"/>
              </w:rPr>
            </w:pPr>
            <w:r w:rsidRPr="00D60B76">
              <w:t>We currently do not offer TDFs so we do not have a 3-year track record of them. Does this disqualify us?</w:t>
            </w:r>
          </w:p>
        </w:tc>
        <w:tc>
          <w:tcPr>
            <w:tcW w:w="5760" w:type="dxa"/>
            <w:shd w:val="clear" w:color="auto" w:fill="auto"/>
          </w:tcPr>
          <w:p w14:paraId="47E7A637" w14:textId="5EED2F97" w:rsidR="00D60B76" w:rsidRPr="00D60B76" w:rsidRDefault="00D60B76" w:rsidP="007B6532">
            <w:pPr>
              <w:spacing w:before="40" w:after="40"/>
              <w:jc w:val="both"/>
              <w:rPr>
                <w:b/>
                <w:bCs/>
              </w:rPr>
            </w:pPr>
            <w:r w:rsidRPr="00D60B76">
              <w:rPr>
                <w:b/>
                <w:bCs/>
              </w:rPr>
              <w:t>The qualifying requirement i</w:t>
            </w:r>
            <w:bookmarkStart w:id="3" w:name="_Toc122353531"/>
            <w:r w:rsidRPr="00D60B76">
              <w:rPr>
                <w:b/>
                <w:bCs/>
              </w:rPr>
              <w:t>s to “h</w:t>
            </w:r>
            <w:r w:rsidRPr="00D60B76">
              <w:rPr>
                <w:b/>
                <w:bCs/>
                <w:lang w:val="x-none"/>
              </w:rPr>
              <w:t xml:space="preserve">ave a 3-year track record as of December 31, 2022 </w:t>
            </w:r>
            <w:r w:rsidRPr="00D60B76">
              <w:rPr>
                <w:b/>
                <w:bCs/>
                <w:u w:val="single"/>
                <w:lang w:val="x-none"/>
              </w:rPr>
              <w:t xml:space="preserve">for each proposed investment </w:t>
            </w:r>
            <w:r w:rsidRPr="00D60B76">
              <w:rPr>
                <w:b/>
                <w:bCs/>
                <w:u w:val="single"/>
              </w:rPr>
              <w:t>option</w:t>
            </w:r>
            <w:r w:rsidRPr="00D60B76">
              <w:rPr>
                <w:b/>
                <w:bCs/>
                <w:u w:val="single"/>
                <w:lang w:val="x-none"/>
              </w:rPr>
              <w:t>.</w:t>
            </w:r>
            <w:bookmarkEnd w:id="3"/>
            <w:r w:rsidRPr="00D60B76">
              <w:rPr>
                <w:b/>
                <w:bCs/>
              </w:rPr>
              <w:t xml:space="preserve">” No Bidder for IM </w:t>
            </w:r>
            <w:r w:rsidR="007B6532">
              <w:rPr>
                <w:b/>
                <w:bCs/>
              </w:rPr>
              <w:t>S</w:t>
            </w:r>
            <w:r w:rsidRPr="00D60B76">
              <w:rPr>
                <w:b/>
                <w:bCs/>
              </w:rPr>
              <w:t xml:space="preserve">ervices is </w:t>
            </w:r>
            <w:r w:rsidRPr="00D60B76">
              <w:rPr>
                <w:b/>
                <w:bCs/>
              </w:rPr>
              <w:lastRenderedPageBreak/>
              <w:t xml:space="preserve">required to submit a </w:t>
            </w:r>
            <w:r w:rsidR="007B6532">
              <w:rPr>
                <w:b/>
                <w:bCs/>
              </w:rPr>
              <w:t>P</w:t>
            </w:r>
            <w:r w:rsidRPr="00D60B76">
              <w:rPr>
                <w:b/>
                <w:bCs/>
              </w:rPr>
              <w:t>roposal for all investment options.   If an entity does propose a Target Date Fund investment option, it must meet the Qualifying Requirements regarding TDFs.</w:t>
            </w:r>
          </w:p>
        </w:tc>
      </w:tr>
      <w:tr w:rsidR="00D60B76" w:rsidRPr="004936F0" w14:paraId="60032DE0" w14:textId="2968C1CC" w:rsidTr="00D60B76">
        <w:tc>
          <w:tcPr>
            <w:tcW w:w="462" w:type="dxa"/>
            <w:shd w:val="clear" w:color="auto" w:fill="D9D9D9" w:themeFill="background1" w:themeFillShade="D9"/>
          </w:tcPr>
          <w:p w14:paraId="69D40242" w14:textId="40C04C40" w:rsidR="00D60B76" w:rsidRPr="004936F0" w:rsidRDefault="00D60B76" w:rsidP="001C163E">
            <w:pPr>
              <w:spacing w:before="40" w:after="40"/>
              <w:rPr>
                <w:b/>
                <w:bCs/>
              </w:rPr>
            </w:pPr>
            <w:r w:rsidRPr="004936F0">
              <w:rPr>
                <w:b/>
                <w:bCs/>
                <w:color w:val="000000"/>
              </w:rPr>
              <w:lastRenderedPageBreak/>
              <w:t>35</w:t>
            </w:r>
          </w:p>
        </w:tc>
        <w:tc>
          <w:tcPr>
            <w:tcW w:w="1696" w:type="dxa"/>
          </w:tcPr>
          <w:p w14:paraId="056789E1" w14:textId="3BBA0AF5" w:rsidR="00D60B76" w:rsidRPr="00D60B76" w:rsidRDefault="00D60B76" w:rsidP="001C163E">
            <w:pPr>
              <w:spacing w:before="40" w:after="40"/>
              <w:rPr>
                <w:color w:val="333333"/>
              </w:rPr>
            </w:pPr>
            <w:r w:rsidRPr="00D60B76">
              <w:t>3.2.3. Investment Management Qualifying Requirements</w:t>
            </w:r>
          </w:p>
        </w:tc>
        <w:tc>
          <w:tcPr>
            <w:tcW w:w="717" w:type="dxa"/>
          </w:tcPr>
          <w:p w14:paraId="70211F6D" w14:textId="6B431A0A" w:rsidR="00D60B76" w:rsidRPr="00D60B76" w:rsidRDefault="00D60B76" w:rsidP="001C163E">
            <w:pPr>
              <w:spacing w:before="40" w:after="40"/>
              <w:rPr>
                <w:color w:val="333333"/>
              </w:rPr>
            </w:pPr>
            <w:r w:rsidRPr="00D60B76">
              <w:t>27</w:t>
            </w:r>
          </w:p>
        </w:tc>
        <w:tc>
          <w:tcPr>
            <w:tcW w:w="5670" w:type="dxa"/>
          </w:tcPr>
          <w:p w14:paraId="6EE85BB2" w14:textId="084AE4F4" w:rsidR="00D60B76" w:rsidRPr="00D60B76" w:rsidRDefault="00D60B76" w:rsidP="007B6532">
            <w:pPr>
              <w:spacing w:before="40" w:after="40"/>
              <w:jc w:val="both"/>
              <w:rPr>
                <w:color w:val="333333"/>
              </w:rPr>
            </w:pPr>
            <w:r w:rsidRPr="00D60B76">
              <w:t xml:space="preserve">We do not have at least 5 public-sector defined contribution, defined benefit or state-sponsored savings plans under our investment management. Does this automatically disqualify us? </w:t>
            </w:r>
          </w:p>
        </w:tc>
        <w:tc>
          <w:tcPr>
            <w:tcW w:w="5760" w:type="dxa"/>
            <w:shd w:val="clear" w:color="auto" w:fill="auto"/>
          </w:tcPr>
          <w:p w14:paraId="4C0C8877" w14:textId="24BD641A" w:rsidR="00D60B76" w:rsidRPr="00D60B76" w:rsidRDefault="00D60B76" w:rsidP="007B6532">
            <w:pPr>
              <w:spacing w:before="40" w:after="40"/>
              <w:jc w:val="both"/>
              <w:rPr>
                <w:b/>
                <w:bCs/>
              </w:rPr>
            </w:pPr>
            <w:r w:rsidRPr="00D60B76">
              <w:rPr>
                <w:b/>
                <w:bCs/>
              </w:rPr>
              <w:t>All requirements to be qualified to bid on the IM portion of this RFP are set forth in Section 3.2. Investment Management Qualifying Requirements. If an entity cannot demonstrate that it meets the qualifying requirements set forth in Section 3.2, then it would not be qualified and should not submit a Proposal.</w:t>
            </w:r>
          </w:p>
          <w:p w14:paraId="6312B6FF" w14:textId="71A7C3B9" w:rsidR="00D60B76" w:rsidRPr="00D60B76" w:rsidRDefault="00D60B76" w:rsidP="007B6532">
            <w:pPr>
              <w:spacing w:before="40" w:after="40"/>
              <w:jc w:val="both"/>
              <w:rPr>
                <w:b/>
                <w:bCs/>
              </w:rPr>
            </w:pPr>
          </w:p>
        </w:tc>
      </w:tr>
      <w:tr w:rsidR="00D60B76" w:rsidRPr="004936F0" w14:paraId="2AAE1366" w14:textId="4359722D" w:rsidTr="00D60B76">
        <w:tc>
          <w:tcPr>
            <w:tcW w:w="462" w:type="dxa"/>
            <w:shd w:val="clear" w:color="auto" w:fill="D9D9D9" w:themeFill="background1" w:themeFillShade="D9"/>
          </w:tcPr>
          <w:p w14:paraId="7503D106" w14:textId="2C3A0A3E" w:rsidR="00D60B76" w:rsidRPr="004936F0" w:rsidRDefault="00D60B76" w:rsidP="001C163E">
            <w:pPr>
              <w:spacing w:before="40" w:after="40"/>
              <w:rPr>
                <w:b/>
                <w:bCs/>
              </w:rPr>
            </w:pPr>
            <w:r w:rsidRPr="004936F0">
              <w:rPr>
                <w:b/>
                <w:bCs/>
                <w:color w:val="000000"/>
              </w:rPr>
              <w:t>36</w:t>
            </w:r>
          </w:p>
        </w:tc>
        <w:tc>
          <w:tcPr>
            <w:tcW w:w="1696" w:type="dxa"/>
          </w:tcPr>
          <w:p w14:paraId="2E76CD8A" w14:textId="13036A5D" w:rsidR="00D60B76" w:rsidRPr="00D60B76" w:rsidRDefault="00D60B76" w:rsidP="001C163E">
            <w:pPr>
              <w:spacing w:before="40" w:after="40"/>
            </w:pPr>
            <w:r w:rsidRPr="00D60B76">
              <w:t>3.2.5.2. Investment Management Qualifying Requirements</w:t>
            </w:r>
          </w:p>
        </w:tc>
        <w:tc>
          <w:tcPr>
            <w:tcW w:w="717" w:type="dxa"/>
          </w:tcPr>
          <w:p w14:paraId="1EB7F270" w14:textId="32952693" w:rsidR="00D60B76" w:rsidRPr="00D60B76" w:rsidRDefault="00D60B76" w:rsidP="001C163E">
            <w:pPr>
              <w:spacing w:before="40" w:after="40"/>
              <w:rPr>
                <w:color w:val="333333"/>
              </w:rPr>
            </w:pPr>
            <w:r w:rsidRPr="00D60B76">
              <w:t>28</w:t>
            </w:r>
          </w:p>
        </w:tc>
        <w:tc>
          <w:tcPr>
            <w:tcW w:w="5670" w:type="dxa"/>
          </w:tcPr>
          <w:p w14:paraId="526FE697" w14:textId="51CC7525" w:rsidR="00D60B76" w:rsidRPr="00D60B76" w:rsidRDefault="00D60B76" w:rsidP="007B6532">
            <w:pPr>
              <w:spacing w:before="40" w:after="40"/>
              <w:jc w:val="both"/>
              <w:rPr>
                <w:color w:val="333333"/>
              </w:rPr>
            </w:pPr>
            <w:r w:rsidRPr="00D60B76">
              <w:t>We don’t currently have at least $1B in assets under management in the proposed Target Retirement Date Strategy. Will the State accept us if we can show we meet this amount after we revise our fund lineup and have a target retirement date option?</w:t>
            </w:r>
          </w:p>
        </w:tc>
        <w:tc>
          <w:tcPr>
            <w:tcW w:w="5760" w:type="dxa"/>
            <w:shd w:val="clear" w:color="auto" w:fill="auto"/>
          </w:tcPr>
          <w:p w14:paraId="29EE0121" w14:textId="1407988D" w:rsidR="00D60B76" w:rsidRPr="00D60B76" w:rsidRDefault="00D60B76" w:rsidP="007B6532">
            <w:pPr>
              <w:spacing w:before="40" w:after="40"/>
              <w:jc w:val="both"/>
              <w:rPr>
                <w:b/>
                <w:bCs/>
              </w:rPr>
            </w:pPr>
            <w:r w:rsidRPr="00D60B76">
              <w:rPr>
                <w:b/>
                <w:bCs/>
              </w:rPr>
              <w:t>All requirements to be qualified to bid on the IM portion of this RFP are set forth in Section 3.2. Investment Management Qualifying Requirements. If an entity cannot demonstrate that it meets the qualifying requirements set forth in Section 3.2, then it would not be qualified and should not submit a Proposal.</w:t>
            </w:r>
          </w:p>
        </w:tc>
      </w:tr>
      <w:tr w:rsidR="00D60B76" w:rsidRPr="004936F0" w14:paraId="21F09A29" w14:textId="51074A0B" w:rsidTr="00D60B76">
        <w:tc>
          <w:tcPr>
            <w:tcW w:w="462" w:type="dxa"/>
            <w:shd w:val="clear" w:color="auto" w:fill="D9D9D9" w:themeFill="background1" w:themeFillShade="D9"/>
          </w:tcPr>
          <w:p w14:paraId="732B03AC" w14:textId="49A7C1F1" w:rsidR="00D60B76" w:rsidRPr="004936F0" w:rsidRDefault="00D60B76" w:rsidP="001C163E">
            <w:pPr>
              <w:spacing w:before="40" w:after="40"/>
              <w:rPr>
                <w:b/>
                <w:bCs/>
              </w:rPr>
            </w:pPr>
            <w:r w:rsidRPr="004936F0">
              <w:rPr>
                <w:b/>
                <w:bCs/>
                <w:color w:val="000000"/>
              </w:rPr>
              <w:t>37</w:t>
            </w:r>
          </w:p>
        </w:tc>
        <w:tc>
          <w:tcPr>
            <w:tcW w:w="1696" w:type="dxa"/>
          </w:tcPr>
          <w:p w14:paraId="5438D299" w14:textId="16A40DA4" w:rsidR="00D60B76" w:rsidRPr="00D60B76" w:rsidRDefault="00D60B76" w:rsidP="001C163E">
            <w:pPr>
              <w:spacing w:before="40" w:after="40"/>
            </w:pPr>
            <w:r w:rsidRPr="00D60B76">
              <w:t>3.2.5.3. Investment Management Qualifying Requirements</w:t>
            </w:r>
          </w:p>
        </w:tc>
        <w:tc>
          <w:tcPr>
            <w:tcW w:w="717" w:type="dxa"/>
          </w:tcPr>
          <w:p w14:paraId="22F40DD4" w14:textId="2245AE7C" w:rsidR="00D60B76" w:rsidRPr="00D60B76" w:rsidRDefault="00D60B76" w:rsidP="001C163E">
            <w:pPr>
              <w:spacing w:before="40" w:after="40"/>
              <w:rPr>
                <w:color w:val="333333"/>
              </w:rPr>
            </w:pPr>
            <w:r w:rsidRPr="00D60B76">
              <w:t>28</w:t>
            </w:r>
          </w:p>
        </w:tc>
        <w:tc>
          <w:tcPr>
            <w:tcW w:w="5670" w:type="dxa"/>
          </w:tcPr>
          <w:p w14:paraId="66B31BEB" w14:textId="28A4A92A" w:rsidR="00D60B76" w:rsidRPr="00D60B76" w:rsidRDefault="00D60B76" w:rsidP="007B6532">
            <w:pPr>
              <w:spacing w:before="40" w:after="40"/>
              <w:jc w:val="both"/>
              <w:rPr>
                <w:color w:val="333333"/>
              </w:rPr>
            </w:pPr>
            <w:r w:rsidRPr="00D60B76">
              <w:t>We do not as yet have a Target Retirement Date Option so we don’t have portfolios separated by 5 yr. increments. Will the fact that we don’t yet have the Target Retirement Date Option disqualify us?</w:t>
            </w:r>
          </w:p>
        </w:tc>
        <w:tc>
          <w:tcPr>
            <w:tcW w:w="5760" w:type="dxa"/>
            <w:shd w:val="clear" w:color="auto" w:fill="auto"/>
          </w:tcPr>
          <w:p w14:paraId="0042E8FB" w14:textId="13E77F8F" w:rsidR="00D60B76" w:rsidRPr="00D60B76" w:rsidRDefault="00D60B76" w:rsidP="007B6532">
            <w:pPr>
              <w:spacing w:before="40" w:after="40"/>
              <w:jc w:val="both"/>
              <w:rPr>
                <w:b/>
                <w:bCs/>
              </w:rPr>
            </w:pPr>
            <w:r w:rsidRPr="00D60B76">
              <w:rPr>
                <w:b/>
                <w:bCs/>
              </w:rPr>
              <w:t>See Answer to Question #34.</w:t>
            </w:r>
          </w:p>
        </w:tc>
      </w:tr>
      <w:tr w:rsidR="00D60B76" w:rsidRPr="004936F0" w14:paraId="5F7AF4A8" w14:textId="4B197243" w:rsidTr="00D60B76">
        <w:tc>
          <w:tcPr>
            <w:tcW w:w="462" w:type="dxa"/>
            <w:shd w:val="clear" w:color="auto" w:fill="D9D9D9" w:themeFill="background1" w:themeFillShade="D9"/>
          </w:tcPr>
          <w:p w14:paraId="2656DA7C" w14:textId="43C81716" w:rsidR="00D60B76" w:rsidRPr="004936F0" w:rsidRDefault="00D60B76" w:rsidP="001C163E">
            <w:pPr>
              <w:spacing w:before="40" w:after="40"/>
              <w:rPr>
                <w:b/>
                <w:bCs/>
              </w:rPr>
            </w:pPr>
            <w:r w:rsidRPr="004936F0">
              <w:rPr>
                <w:b/>
                <w:bCs/>
                <w:color w:val="000000"/>
              </w:rPr>
              <w:t>38</w:t>
            </w:r>
          </w:p>
        </w:tc>
        <w:tc>
          <w:tcPr>
            <w:tcW w:w="1696" w:type="dxa"/>
          </w:tcPr>
          <w:p w14:paraId="6D0882C3" w14:textId="25AEFE32" w:rsidR="00D60B76" w:rsidRPr="00D60B76" w:rsidRDefault="00D60B76" w:rsidP="001C163E">
            <w:pPr>
              <w:spacing w:before="40" w:after="40"/>
              <w:rPr>
                <w:color w:val="333333"/>
              </w:rPr>
            </w:pPr>
            <w:r w:rsidRPr="00D60B76">
              <w:t>3.2.6.2. Investment Management Qualifying Requirements</w:t>
            </w:r>
          </w:p>
        </w:tc>
        <w:tc>
          <w:tcPr>
            <w:tcW w:w="717" w:type="dxa"/>
          </w:tcPr>
          <w:p w14:paraId="7A8D6A1F" w14:textId="455A9D07" w:rsidR="00D60B76" w:rsidRPr="00D60B76" w:rsidRDefault="00D60B76" w:rsidP="001C163E">
            <w:pPr>
              <w:spacing w:before="40" w:after="40"/>
              <w:rPr>
                <w:color w:val="333333"/>
              </w:rPr>
            </w:pPr>
            <w:r w:rsidRPr="00D60B76">
              <w:t>28</w:t>
            </w:r>
          </w:p>
        </w:tc>
        <w:tc>
          <w:tcPr>
            <w:tcW w:w="5670" w:type="dxa"/>
          </w:tcPr>
          <w:p w14:paraId="464CC699" w14:textId="7ECCF814" w:rsidR="00D60B76" w:rsidRPr="00D60B76" w:rsidRDefault="00D60B76" w:rsidP="007B6532">
            <w:pPr>
              <w:spacing w:before="40" w:after="40"/>
              <w:jc w:val="both"/>
              <w:rPr>
                <w:color w:val="333333"/>
              </w:rPr>
            </w:pPr>
            <w:r w:rsidRPr="00D60B76">
              <w:t xml:space="preserve">Starter K is a new product that does not yet exist so we can’t meet this requirement. Does that automatically disqualify us? </w:t>
            </w:r>
          </w:p>
        </w:tc>
        <w:tc>
          <w:tcPr>
            <w:tcW w:w="5760" w:type="dxa"/>
            <w:shd w:val="clear" w:color="auto" w:fill="auto"/>
          </w:tcPr>
          <w:p w14:paraId="0A6BAA8F" w14:textId="13556ABD" w:rsidR="00D60B76" w:rsidRPr="00D60B76" w:rsidRDefault="00D60B76" w:rsidP="007B6532">
            <w:pPr>
              <w:spacing w:before="40" w:after="40"/>
              <w:jc w:val="both"/>
              <w:rPr>
                <w:b/>
                <w:bCs/>
              </w:rPr>
            </w:pPr>
            <w:r w:rsidRPr="00D60B76">
              <w:rPr>
                <w:b/>
                <w:bCs/>
              </w:rPr>
              <w:t>See Answer to Questions #4 and #36.</w:t>
            </w:r>
          </w:p>
        </w:tc>
      </w:tr>
      <w:tr w:rsidR="00D60B76" w:rsidRPr="004936F0" w14:paraId="36C8D4A9" w14:textId="254D18CD" w:rsidTr="00D60B76">
        <w:tc>
          <w:tcPr>
            <w:tcW w:w="462" w:type="dxa"/>
            <w:shd w:val="clear" w:color="auto" w:fill="D9D9D9" w:themeFill="background1" w:themeFillShade="D9"/>
          </w:tcPr>
          <w:p w14:paraId="0B08C087" w14:textId="6E2A8D57" w:rsidR="00D60B76" w:rsidRPr="004936F0" w:rsidRDefault="00D60B76" w:rsidP="001C163E">
            <w:pPr>
              <w:spacing w:before="40" w:after="40"/>
              <w:rPr>
                <w:b/>
                <w:bCs/>
              </w:rPr>
            </w:pPr>
            <w:r w:rsidRPr="004936F0">
              <w:rPr>
                <w:b/>
                <w:bCs/>
                <w:color w:val="000000"/>
              </w:rPr>
              <w:t>39</w:t>
            </w:r>
          </w:p>
        </w:tc>
        <w:tc>
          <w:tcPr>
            <w:tcW w:w="1696" w:type="dxa"/>
          </w:tcPr>
          <w:p w14:paraId="69CEB94E" w14:textId="5F1F1A20" w:rsidR="00D60B76" w:rsidRPr="00D60B76" w:rsidRDefault="00D60B76" w:rsidP="001C163E">
            <w:pPr>
              <w:spacing w:before="40" w:after="40"/>
              <w:rPr>
                <w:color w:val="333333"/>
              </w:rPr>
            </w:pPr>
            <w:r w:rsidRPr="00D60B76">
              <w:t>4.2.1.1. Program Administration Services</w:t>
            </w:r>
          </w:p>
        </w:tc>
        <w:tc>
          <w:tcPr>
            <w:tcW w:w="717" w:type="dxa"/>
          </w:tcPr>
          <w:p w14:paraId="3AA7E35E" w14:textId="473A1D9C" w:rsidR="00D60B76" w:rsidRPr="00D60B76" w:rsidRDefault="00D60B76" w:rsidP="001C163E">
            <w:pPr>
              <w:spacing w:before="40" w:after="40"/>
              <w:rPr>
                <w:color w:val="333333"/>
              </w:rPr>
            </w:pPr>
            <w:r w:rsidRPr="00D60B76">
              <w:t>33</w:t>
            </w:r>
          </w:p>
        </w:tc>
        <w:tc>
          <w:tcPr>
            <w:tcW w:w="5670" w:type="dxa"/>
          </w:tcPr>
          <w:p w14:paraId="4D1ABF57" w14:textId="77777777" w:rsidR="00D60B76" w:rsidRPr="00D60B76" w:rsidRDefault="00D60B76" w:rsidP="007B6532">
            <w:pPr>
              <w:spacing w:before="40" w:after="40"/>
              <w:jc w:val="both"/>
            </w:pPr>
            <w:r w:rsidRPr="00D60B76">
              <w:t>Does the State have an ideal timeframe for this implementation timeline and project plan?</w:t>
            </w:r>
          </w:p>
          <w:p w14:paraId="4E1AA965" w14:textId="77777777" w:rsidR="00D60B76" w:rsidRPr="00D60B76" w:rsidRDefault="00D60B76" w:rsidP="007B6532">
            <w:pPr>
              <w:spacing w:before="40" w:after="40"/>
              <w:jc w:val="both"/>
              <w:rPr>
                <w:color w:val="333333"/>
              </w:rPr>
            </w:pPr>
          </w:p>
        </w:tc>
        <w:tc>
          <w:tcPr>
            <w:tcW w:w="5760" w:type="dxa"/>
            <w:shd w:val="clear" w:color="auto" w:fill="auto"/>
          </w:tcPr>
          <w:p w14:paraId="6FE1716A" w14:textId="2868A985" w:rsidR="00D60B76" w:rsidRPr="00D60B76" w:rsidRDefault="00D60B76" w:rsidP="007B6532">
            <w:pPr>
              <w:spacing w:before="40" w:after="40"/>
              <w:jc w:val="both"/>
              <w:rPr>
                <w:b/>
                <w:bCs/>
              </w:rPr>
            </w:pPr>
            <w:r w:rsidRPr="00D60B76">
              <w:rPr>
                <w:b/>
                <w:bCs/>
              </w:rPr>
              <w:t>See Answer to Question #5.</w:t>
            </w:r>
          </w:p>
        </w:tc>
      </w:tr>
      <w:tr w:rsidR="00D60B76" w:rsidRPr="004936F0" w14:paraId="7873A867" w14:textId="09D39F09" w:rsidTr="00D60B76">
        <w:tc>
          <w:tcPr>
            <w:tcW w:w="462" w:type="dxa"/>
            <w:shd w:val="clear" w:color="auto" w:fill="D9D9D9" w:themeFill="background1" w:themeFillShade="D9"/>
          </w:tcPr>
          <w:p w14:paraId="519339A0" w14:textId="717D4773" w:rsidR="00D60B76" w:rsidRPr="004936F0" w:rsidRDefault="00D60B76" w:rsidP="001C163E">
            <w:pPr>
              <w:spacing w:before="40" w:after="40"/>
              <w:rPr>
                <w:b/>
                <w:bCs/>
              </w:rPr>
            </w:pPr>
            <w:r w:rsidRPr="004936F0">
              <w:rPr>
                <w:b/>
                <w:bCs/>
                <w:color w:val="000000"/>
              </w:rPr>
              <w:lastRenderedPageBreak/>
              <w:t>40</w:t>
            </w:r>
          </w:p>
        </w:tc>
        <w:tc>
          <w:tcPr>
            <w:tcW w:w="1696" w:type="dxa"/>
          </w:tcPr>
          <w:p w14:paraId="18168DFD" w14:textId="162B598E" w:rsidR="00D60B76" w:rsidRPr="00D60B76" w:rsidRDefault="00D60B76" w:rsidP="001C163E">
            <w:pPr>
              <w:spacing w:before="40" w:after="40"/>
              <w:rPr>
                <w:color w:val="333333"/>
              </w:rPr>
            </w:pPr>
            <w:r w:rsidRPr="00D60B76">
              <w:t>4.2.1.3. Program Administration Services</w:t>
            </w:r>
          </w:p>
        </w:tc>
        <w:tc>
          <w:tcPr>
            <w:tcW w:w="717" w:type="dxa"/>
          </w:tcPr>
          <w:p w14:paraId="3451D4BD" w14:textId="1817541C" w:rsidR="00D60B76" w:rsidRPr="00D60B76" w:rsidRDefault="00D60B76" w:rsidP="001C163E">
            <w:pPr>
              <w:spacing w:before="40" w:after="40"/>
              <w:rPr>
                <w:color w:val="333333"/>
              </w:rPr>
            </w:pPr>
            <w:r w:rsidRPr="00D60B76">
              <w:t>33</w:t>
            </w:r>
          </w:p>
        </w:tc>
        <w:tc>
          <w:tcPr>
            <w:tcW w:w="5670" w:type="dxa"/>
          </w:tcPr>
          <w:p w14:paraId="3E2CDE03" w14:textId="45088F88" w:rsidR="00D60B76" w:rsidRPr="00D60B76" w:rsidRDefault="00D60B76" w:rsidP="007B6532">
            <w:pPr>
              <w:spacing w:before="40" w:after="40"/>
              <w:jc w:val="both"/>
              <w:rPr>
                <w:color w:val="333333"/>
              </w:rPr>
            </w:pPr>
            <w:r w:rsidRPr="00D60B76">
              <w:t>What does the State consider “design elements” Do investments fall under plan design elements?</w:t>
            </w:r>
          </w:p>
        </w:tc>
        <w:tc>
          <w:tcPr>
            <w:tcW w:w="5760" w:type="dxa"/>
            <w:shd w:val="clear" w:color="auto" w:fill="auto"/>
          </w:tcPr>
          <w:p w14:paraId="5A4DDF12" w14:textId="0C640FED" w:rsidR="00D60B76" w:rsidRPr="00D60B76" w:rsidRDefault="00D60B76" w:rsidP="007B6532">
            <w:pPr>
              <w:spacing w:before="40" w:after="40"/>
              <w:jc w:val="both"/>
              <w:rPr>
                <w:b/>
                <w:bCs/>
              </w:rPr>
            </w:pPr>
            <w:r w:rsidRPr="00D60B76">
              <w:rPr>
                <w:b/>
                <w:bCs/>
              </w:rPr>
              <w:t>See Answer to Question #13.</w:t>
            </w:r>
          </w:p>
        </w:tc>
      </w:tr>
      <w:tr w:rsidR="00D60B76" w:rsidRPr="004936F0" w14:paraId="017C85FB" w14:textId="1C260693" w:rsidTr="00D60B76">
        <w:tc>
          <w:tcPr>
            <w:tcW w:w="462" w:type="dxa"/>
            <w:shd w:val="clear" w:color="auto" w:fill="D9D9D9" w:themeFill="background1" w:themeFillShade="D9"/>
          </w:tcPr>
          <w:p w14:paraId="081062B8" w14:textId="6E2B08ED" w:rsidR="00D60B76" w:rsidRPr="004936F0" w:rsidRDefault="00D60B76" w:rsidP="001C163E">
            <w:pPr>
              <w:spacing w:before="40" w:after="40"/>
              <w:rPr>
                <w:b/>
                <w:bCs/>
              </w:rPr>
            </w:pPr>
            <w:r w:rsidRPr="004936F0">
              <w:rPr>
                <w:b/>
                <w:bCs/>
                <w:color w:val="000000"/>
              </w:rPr>
              <w:t>41</w:t>
            </w:r>
          </w:p>
        </w:tc>
        <w:tc>
          <w:tcPr>
            <w:tcW w:w="1696" w:type="dxa"/>
          </w:tcPr>
          <w:p w14:paraId="77A7E483" w14:textId="49EDC2A5" w:rsidR="00D60B76" w:rsidRPr="00D60B76" w:rsidRDefault="00D60B76" w:rsidP="001C163E">
            <w:pPr>
              <w:spacing w:before="40" w:after="40"/>
              <w:rPr>
                <w:color w:val="333333"/>
              </w:rPr>
            </w:pPr>
            <w:r w:rsidRPr="00D60B76">
              <w:t>4.2.1.7.</w:t>
            </w:r>
          </w:p>
        </w:tc>
        <w:tc>
          <w:tcPr>
            <w:tcW w:w="717" w:type="dxa"/>
          </w:tcPr>
          <w:p w14:paraId="7EF67437" w14:textId="41510DA1" w:rsidR="00D60B76" w:rsidRPr="00D60B76" w:rsidRDefault="00D60B76" w:rsidP="001C163E">
            <w:pPr>
              <w:spacing w:before="40" w:after="40"/>
              <w:rPr>
                <w:color w:val="333333"/>
              </w:rPr>
            </w:pPr>
            <w:r w:rsidRPr="00D60B76">
              <w:t>33</w:t>
            </w:r>
          </w:p>
        </w:tc>
        <w:tc>
          <w:tcPr>
            <w:tcW w:w="5670" w:type="dxa"/>
          </w:tcPr>
          <w:p w14:paraId="4801F85F" w14:textId="49503320" w:rsidR="00D60B76" w:rsidRPr="00D60B76" w:rsidRDefault="00D60B76" w:rsidP="007B6532">
            <w:pPr>
              <w:spacing w:before="40" w:after="40"/>
              <w:jc w:val="both"/>
              <w:rPr>
                <w:color w:val="333333"/>
              </w:rPr>
            </w:pPr>
            <w:r w:rsidRPr="00D60B76">
              <w:t xml:space="preserve">We don’t have past experience in providing informational materials in these foreign languages. What will the State accept in lieu of </w:t>
            </w:r>
            <w:proofErr w:type="gramStart"/>
            <w:r w:rsidRPr="00D60B76">
              <w:t>this, if</w:t>
            </w:r>
            <w:proofErr w:type="gramEnd"/>
            <w:r w:rsidRPr="00D60B76">
              <w:t xml:space="preserve"> anything?</w:t>
            </w:r>
          </w:p>
        </w:tc>
        <w:tc>
          <w:tcPr>
            <w:tcW w:w="5760" w:type="dxa"/>
            <w:shd w:val="clear" w:color="auto" w:fill="auto"/>
          </w:tcPr>
          <w:p w14:paraId="18FE2CF4" w14:textId="77777777" w:rsidR="00D60B76" w:rsidRPr="00D60B76" w:rsidRDefault="00D60B76" w:rsidP="007B6532">
            <w:pPr>
              <w:spacing w:before="40" w:after="40"/>
              <w:jc w:val="both"/>
              <w:rPr>
                <w:b/>
                <w:bCs/>
              </w:rPr>
            </w:pPr>
            <w:r w:rsidRPr="00D60B76">
              <w:rPr>
                <w:b/>
                <w:bCs/>
              </w:rPr>
              <w:t>See Answer to Question #15.</w:t>
            </w:r>
          </w:p>
          <w:p w14:paraId="0EA23FF6" w14:textId="7C91DADF" w:rsidR="00D60B76" w:rsidRPr="00D60B76" w:rsidRDefault="00D60B76" w:rsidP="007B6532">
            <w:pPr>
              <w:spacing w:before="40" w:after="40"/>
              <w:jc w:val="both"/>
              <w:rPr>
                <w:b/>
                <w:bCs/>
              </w:rPr>
            </w:pPr>
            <w:r w:rsidRPr="00D60B76">
              <w:rPr>
                <w:b/>
                <w:bCs/>
              </w:rPr>
              <w:t xml:space="preserve">Besides past experience, </w:t>
            </w:r>
            <w:r w:rsidR="00794FE3">
              <w:rPr>
                <w:b/>
                <w:bCs/>
              </w:rPr>
              <w:t xml:space="preserve">a </w:t>
            </w:r>
            <w:r w:rsidRPr="00D60B76">
              <w:rPr>
                <w:b/>
                <w:bCs/>
              </w:rPr>
              <w:t>Bidder should discuss its action plan for providing the Informational Materials in a foreign language(s).</w:t>
            </w:r>
          </w:p>
        </w:tc>
      </w:tr>
      <w:tr w:rsidR="00D60B76" w:rsidRPr="004936F0" w14:paraId="1181C88F" w14:textId="478AF090" w:rsidTr="00D60B76">
        <w:tc>
          <w:tcPr>
            <w:tcW w:w="462" w:type="dxa"/>
            <w:shd w:val="clear" w:color="auto" w:fill="D9D9D9" w:themeFill="background1" w:themeFillShade="D9"/>
          </w:tcPr>
          <w:p w14:paraId="212C97D9" w14:textId="04025992" w:rsidR="00D60B76" w:rsidRPr="004936F0" w:rsidRDefault="00D60B76" w:rsidP="001C163E">
            <w:pPr>
              <w:spacing w:before="40" w:after="40"/>
              <w:rPr>
                <w:b/>
                <w:bCs/>
              </w:rPr>
            </w:pPr>
            <w:r w:rsidRPr="004936F0">
              <w:rPr>
                <w:b/>
                <w:bCs/>
                <w:color w:val="000000"/>
              </w:rPr>
              <w:t>42</w:t>
            </w:r>
          </w:p>
        </w:tc>
        <w:tc>
          <w:tcPr>
            <w:tcW w:w="1696" w:type="dxa"/>
          </w:tcPr>
          <w:p w14:paraId="46CA1302" w14:textId="5E22C585" w:rsidR="00D60B76" w:rsidRPr="00D60B76" w:rsidRDefault="00D60B76" w:rsidP="001C163E">
            <w:pPr>
              <w:spacing w:before="40" w:after="40"/>
              <w:rPr>
                <w:color w:val="333333"/>
              </w:rPr>
            </w:pPr>
            <w:r w:rsidRPr="00D60B76">
              <w:t>4.2.2.9 Recordkeeping</w:t>
            </w:r>
          </w:p>
        </w:tc>
        <w:tc>
          <w:tcPr>
            <w:tcW w:w="717" w:type="dxa"/>
          </w:tcPr>
          <w:p w14:paraId="51481B64" w14:textId="770061D8" w:rsidR="00D60B76" w:rsidRPr="00D60B76" w:rsidRDefault="00D60B76" w:rsidP="001C163E">
            <w:pPr>
              <w:spacing w:before="40" w:after="40"/>
              <w:rPr>
                <w:color w:val="333333"/>
              </w:rPr>
            </w:pPr>
            <w:r w:rsidRPr="00D60B76">
              <w:t>35</w:t>
            </w:r>
          </w:p>
        </w:tc>
        <w:tc>
          <w:tcPr>
            <w:tcW w:w="5670" w:type="dxa"/>
          </w:tcPr>
          <w:p w14:paraId="4758219D" w14:textId="4BAD10BF" w:rsidR="00D60B76" w:rsidRPr="00D60B76" w:rsidRDefault="00D60B76" w:rsidP="007B6532">
            <w:pPr>
              <w:spacing w:before="40" w:after="40"/>
              <w:jc w:val="both"/>
              <w:rPr>
                <w:color w:val="333333"/>
              </w:rPr>
            </w:pPr>
            <w:r w:rsidRPr="00D60B76">
              <w:t>Can we waive the State’s required target date option?</w:t>
            </w:r>
          </w:p>
        </w:tc>
        <w:tc>
          <w:tcPr>
            <w:tcW w:w="5760" w:type="dxa"/>
            <w:shd w:val="clear" w:color="auto" w:fill="auto"/>
          </w:tcPr>
          <w:p w14:paraId="1B0E5FE6" w14:textId="767C8574" w:rsidR="00D60B76" w:rsidRPr="00D60B76" w:rsidRDefault="00D60B76" w:rsidP="007B6532">
            <w:pPr>
              <w:spacing w:before="40" w:after="40"/>
              <w:jc w:val="both"/>
              <w:rPr>
                <w:b/>
                <w:bCs/>
              </w:rPr>
            </w:pPr>
            <w:r w:rsidRPr="00D60B76">
              <w:rPr>
                <w:b/>
                <w:bCs/>
              </w:rPr>
              <w:t>Bidder should discuss any such exceptions or restrictions in its response to Section 4.2.2.9.</w:t>
            </w:r>
          </w:p>
        </w:tc>
      </w:tr>
      <w:tr w:rsidR="00D60B76" w:rsidRPr="004936F0" w14:paraId="65F50AD7" w14:textId="607A237F" w:rsidTr="00D60B76">
        <w:tc>
          <w:tcPr>
            <w:tcW w:w="462" w:type="dxa"/>
            <w:shd w:val="clear" w:color="auto" w:fill="D9D9D9" w:themeFill="background1" w:themeFillShade="D9"/>
          </w:tcPr>
          <w:p w14:paraId="3AF7CCCC" w14:textId="6932F80C" w:rsidR="00D60B76" w:rsidRPr="004936F0" w:rsidRDefault="00D60B76" w:rsidP="001C163E">
            <w:pPr>
              <w:spacing w:before="40" w:after="40"/>
              <w:rPr>
                <w:b/>
                <w:bCs/>
              </w:rPr>
            </w:pPr>
            <w:r w:rsidRPr="004936F0">
              <w:rPr>
                <w:b/>
                <w:bCs/>
                <w:color w:val="000000"/>
              </w:rPr>
              <w:t>43</w:t>
            </w:r>
          </w:p>
        </w:tc>
        <w:tc>
          <w:tcPr>
            <w:tcW w:w="1696" w:type="dxa"/>
          </w:tcPr>
          <w:p w14:paraId="4F788673" w14:textId="427C80B8" w:rsidR="00D60B76" w:rsidRPr="00D60B76" w:rsidRDefault="00D60B76" w:rsidP="001C163E">
            <w:pPr>
              <w:spacing w:before="40" w:after="40"/>
              <w:rPr>
                <w:color w:val="333333"/>
              </w:rPr>
            </w:pPr>
            <w:r w:rsidRPr="00D60B76">
              <w:t>4.2.2.5</w:t>
            </w:r>
          </w:p>
        </w:tc>
        <w:tc>
          <w:tcPr>
            <w:tcW w:w="717" w:type="dxa"/>
          </w:tcPr>
          <w:p w14:paraId="5DCAC989" w14:textId="3D62F3C4" w:rsidR="00D60B76" w:rsidRPr="00D60B76" w:rsidRDefault="00D60B76" w:rsidP="001C163E">
            <w:pPr>
              <w:spacing w:before="40" w:after="40"/>
              <w:rPr>
                <w:color w:val="333333"/>
              </w:rPr>
            </w:pPr>
            <w:r w:rsidRPr="00D60B76">
              <w:t>35</w:t>
            </w:r>
          </w:p>
        </w:tc>
        <w:tc>
          <w:tcPr>
            <w:tcW w:w="5670" w:type="dxa"/>
          </w:tcPr>
          <w:p w14:paraId="3D10774B" w14:textId="0E89E7C0" w:rsidR="00D60B76" w:rsidRPr="00D60B76" w:rsidRDefault="00D60B76" w:rsidP="007B6532">
            <w:pPr>
              <w:spacing w:before="40" w:after="40"/>
              <w:jc w:val="both"/>
            </w:pPr>
            <w:r w:rsidRPr="00D60B76">
              <w:t xml:space="preserve">[Potential Bidder] does not support a paper enrollment process (for employers or employees). How is the Department expecting that employers will be able to register and add employees through a paper process?  </w:t>
            </w:r>
          </w:p>
        </w:tc>
        <w:tc>
          <w:tcPr>
            <w:tcW w:w="5760" w:type="dxa"/>
            <w:shd w:val="clear" w:color="auto" w:fill="auto"/>
          </w:tcPr>
          <w:p w14:paraId="07C53038" w14:textId="77777777" w:rsidR="00D60B76" w:rsidRPr="00D60B76" w:rsidRDefault="00D60B76" w:rsidP="007B6532">
            <w:pPr>
              <w:spacing w:before="40" w:after="40"/>
              <w:jc w:val="both"/>
              <w:rPr>
                <w:b/>
                <w:bCs/>
              </w:rPr>
            </w:pPr>
            <w:r w:rsidRPr="00D60B76">
              <w:rPr>
                <w:b/>
                <w:bCs/>
              </w:rPr>
              <w:t>Bidder should describe its proposed enrollment process in its response to Section 4.2.2.5.</w:t>
            </w:r>
          </w:p>
          <w:p w14:paraId="3BBD3DB5" w14:textId="2218A8EE" w:rsidR="00D60B76" w:rsidRPr="00D60B76" w:rsidRDefault="00D60B76" w:rsidP="007B6532">
            <w:pPr>
              <w:spacing w:before="40" w:after="40"/>
              <w:jc w:val="both"/>
              <w:rPr>
                <w:b/>
                <w:bCs/>
              </w:rPr>
            </w:pPr>
          </w:p>
        </w:tc>
      </w:tr>
      <w:tr w:rsidR="00D60B76" w:rsidRPr="004936F0" w14:paraId="0E4FCB41" w14:textId="3BBB2B8B" w:rsidTr="00D60B76">
        <w:tc>
          <w:tcPr>
            <w:tcW w:w="462" w:type="dxa"/>
            <w:shd w:val="clear" w:color="auto" w:fill="D9D9D9" w:themeFill="background1" w:themeFillShade="D9"/>
          </w:tcPr>
          <w:p w14:paraId="04ADBBE4" w14:textId="6362E589" w:rsidR="00D60B76" w:rsidRPr="004936F0" w:rsidRDefault="00D60B76" w:rsidP="001C163E">
            <w:pPr>
              <w:spacing w:before="40" w:after="40"/>
              <w:rPr>
                <w:b/>
                <w:bCs/>
              </w:rPr>
            </w:pPr>
            <w:r w:rsidRPr="004936F0">
              <w:rPr>
                <w:b/>
                <w:bCs/>
                <w:color w:val="000000"/>
              </w:rPr>
              <w:t>44</w:t>
            </w:r>
          </w:p>
        </w:tc>
        <w:tc>
          <w:tcPr>
            <w:tcW w:w="1696" w:type="dxa"/>
          </w:tcPr>
          <w:p w14:paraId="180DCEE1" w14:textId="2FEEF754" w:rsidR="00D60B76" w:rsidRPr="00D60B76" w:rsidRDefault="00D60B76" w:rsidP="001C163E">
            <w:pPr>
              <w:spacing w:before="40" w:after="40"/>
              <w:rPr>
                <w:color w:val="333333"/>
              </w:rPr>
            </w:pPr>
            <w:r w:rsidRPr="00D60B76">
              <w:t>4.2.2.13. Recordkeeping</w:t>
            </w:r>
          </w:p>
        </w:tc>
        <w:tc>
          <w:tcPr>
            <w:tcW w:w="717" w:type="dxa"/>
          </w:tcPr>
          <w:p w14:paraId="64C6584A" w14:textId="70CC5789" w:rsidR="00D60B76" w:rsidRPr="00D60B76" w:rsidRDefault="00D60B76" w:rsidP="001C163E">
            <w:pPr>
              <w:spacing w:before="40" w:after="40"/>
              <w:rPr>
                <w:color w:val="333333"/>
              </w:rPr>
            </w:pPr>
            <w:r w:rsidRPr="00D60B76">
              <w:t>35 – 36</w:t>
            </w:r>
          </w:p>
        </w:tc>
        <w:tc>
          <w:tcPr>
            <w:tcW w:w="5670" w:type="dxa"/>
          </w:tcPr>
          <w:p w14:paraId="3B63C262" w14:textId="08916027" w:rsidR="00D60B76" w:rsidRPr="00D60B76" w:rsidRDefault="00D60B76" w:rsidP="007B6532">
            <w:pPr>
              <w:spacing w:before="40" w:after="40"/>
              <w:jc w:val="both"/>
              <w:rPr>
                <w:color w:val="333333"/>
              </w:rPr>
            </w:pPr>
            <w:r w:rsidRPr="00D60B76">
              <w:t>This functionality is not available w/ a Starter K. Will the State accept that?</w:t>
            </w:r>
          </w:p>
        </w:tc>
        <w:tc>
          <w:tcPr>
            <w:tcW w:w="5760" w:type="dxa"/>
            <w:shd w:val="clear" w:color="auto" w:fill="auto"/>
          </w:tcPr>
          <w:p w14:paraId="7D24F81F" w14:textId="0F15D987" w:rsidR="00D60B76" w:rsidRPr="00D60B76" w:rsidRDefault="00D60B76" w:rsidP="007B6532">
            <w:pPr>
              <w:spacing w:before="40" w:after="40"/>
              <w:jc w:val="both"/>
              <w:rPr>
                <w:b/>
                <w:bCs/>
              </w:rPr>
            </w:pPr>
            <w:r w:rsidRPr="00D60B76">
              <w:rPr>
                <w:b/>
                <w:bCs/>
              </w:rPr>
              <w:t>See Answer to Question #4.</w:t>
            </w:r>
          </w:p>
        </w:tc>
      </w:tr>
      <w:tr w:rsidR="00D60B76" w:rsidRPr="004936F0" w14:paraId="5ACB7B2C" w14:textId="1D7C4955" w:rsidTr="00D60B76">
        <w:tc>
          <w:tcPr>
            <w:tcW w:w="462" w:type="dxa"/>
            <w:shd w:val="clear" w:color="auto" w:fill="D9D9D9" w:themeFill="background1" w:themeFillShade="D9"/>
          </w:tcPr>
          <w:p w14:paraId="2635382F" w14:textId="640C984D" w:rsidR="00D60B76" w:rsidRPr="004936F0" w:rsidRDefault="00D60B76" w:rsidP="001C163E">
            <w:pPr>
              <w:spacing w:before="40" w:after="40"/>
              <w:rPr>
                <w:b/>
                <w:bCs/>
              </w:rPr>
            </w:pPr>
            <w:r w:rsidRPr="004936F0">
              <w:rPr>
                <w:b/>
                <w:bCs/>
                <w:color w:val="000000"/>
              </w:rPr>
              <w:t>45</w:t>
            </w:r>
          </w:p>
        </w:tc>
        <w:tc>
          <w:tcPr>
            <w:tcW w:w="1696" w:type="dxa"/>
          </w:tcPr>
          <w:p w14:paraId="62B9260F" w14:textId="4C226DAB" w:rsidR="00D60B76" w:rsidRPr="00D60B76" w:rsidRDefault="00D60B76" w:rsidP="001C163E">
            <w:pPr>
              <w:spacing w:before="40" w:after="40"/>
              <w:rPr>
                <w:color w:val="333333"/>
              </w:rPr>
            </w:pPr>
            <w:r w:rsidRPr="00D60B76">
              <w:t>4.2.2.19. Recordkeeping</w:t>
            </w:r>
          </w:p>
        </w:tc>
        <w:tc>
          <w:tcPr>
            <w:tcW w:w="717" w:type="dxa"/>
          </w:tcPr>
          <w:p w14:paraId="73F5F61F" w14:textId="5FD6071F" w:rsidR="00D60B76" w:rsidRPr="00D60B76" w:rsidRDefault="00D60B76" w:rsidP="001C163E">
            <w:pPr>
              <w:spacing w:before="40" w:after="40"/>
              <w:rPr>
                <w:color w:val="333333"/>
              </w:rPr>
            </w:pPr>
            <w:r w:rsidRPr="00D60B76">
              <w:t>36</w:t>
            </w:r>
          </w:p>
        </w:tc>
        <w:tc>
          <w:tcPr>
            <w:tcW w:w="5670" w:type="dxa"/>
          </w:tcPr>
          <w:p w14:paraId="3A54AE54" w14:textId="04FDB34D" w:rsidR="00D60B76" w:rsidRPr="00D60B76" w:rsidRDefault="00D60B76" w:rsidP="007B6532">
            <w:pPr>
              <w:spacing w:before="40" w:after="40"/>
              <w:jc w:val="both"/>
              <w:rPr>
                <w:color w:val="333333"/>
              </w:rPr>
            </w:pPr>
            <w:r w:rsidRPr="00D60B76">
              <w:t>What falls under program websites? Just the public-facing websites or user-system sites? Does the State expect system sites to be translated as well? Can the State provide a list of all sites that would be expected to be translated?</w:t>
            </w:r>
          </w:p>
        </w:tc>
        <w:tc>
          <w:tcPr>
            <w:tcW w:w="5760" w:type="dxa"/>
            <w:shd w:val="clear" w:color="auto" w:fill="auto"/>
          </w:tcPr>
          <w:p w14:paraId="15519C22" w14:textId="77777777" w:rsidR="00D60B76" w:rsidRPr="00D60B76" w:rsidRDefault="00D60B76" w:rsidP="007B6532">
            <w:pPr>
              <w:spacing w:before="40" w:after="40"/>
              <w:jc w:val="both"/>
              <w:rPr>
                <w:b/>
                <w:bCs/>
              </w:rPr>
            </w:pPr>
            <w:r w:rsidRPr="00D60B76">
              <w:rPr>
                <w:b/>
                <w:bCs/>
              </w:rPr>
              <w:t xml:space="preserve">See Answer to Question #29. </w:t>
            </w:r>
          </w:p>
          <w:p w14:paraId="5DB09831" w14:textId="27157A9E" w:rsidR="00D60B76" w:rsidRPr="00D60B76" w:rsidRDefault="00D60B76" w:rsidP="007B6532">
            <w:pPr>
              <w:spacing w:before="40" w:after="40"/>
              <w:jc w:val="both"/>
              <w:rPr>
                <w:b/>
                <w:bCs/>
              </w:rPr>
            </w:pPr>
          </w:p>
        </w:tc>
      </w:tr>
      <w:tr w:rsidR="00D60B76" w:rsidRPr="004936F0" w14:paraId="448D83F1" w14:textId="1DD3834C" w:rsidTr="00D60B76">
        <w:tc>
          <w:tcPr>
            <w:tcW w:w="462" w:type="dxa"/>
            <w:shd w:val="clear" w:color="auto" w:fill="D9D9D9" w:themeFill="background1" w:themeFillShade="D9"/>
          </w:tcPr>
          <w:p w14:paraId="4B412BFD" w14:textId="523BB284" w:rsidR="00D60B76" w:rsidRPr="004936F0" w:rsidRDefault="00D60B76" w:rsidP="001C163E">
            <w:pPr>
              <w:spacing w:before="40" w:after="40"/>
              <w:rPr>
                <w:b/>
                <w:bCs/>
              </w:rPr>
            </w:pPr>
            <w:r w:rsidRPr="004936F0">
              <w:rPr>
                <w:b/>
                <w:bCs/>
                <w:color w:val="000000"/>
              </w:rPr>
              <w:t>46</w:t>
            </w:r>
          </w:p>
        </w:tc>
        <w:tc>
          <w:tcPr>
            <w:tcW w:w="1696" w:type="dxa"/>
          </w:tcPr>
          <w:p w14:paraId="1E415D0F" w14:textId="13D44A5F" w:rsidR="00D60B76" w:rsidRPr="00D60B76" w:rsidRDefault="00D60B76" w:rsidP="001C163E">
            <w:pPr>
              <w:spacing w:before="40" w:after="40"/>
              <w:rPr>
                <w:color w:val="333333"/>
              </w:rPr>
            </w:pPr>
            <w:r w:rsidRPr="00D60B76">
              <w:t>4.2.4.2. Marketing and Outreach</w:t>
            </w:r>
          </w:p>
        </w:tc>
        <w:tc>
          <w:tcPr>
            <w:tcW w:w="717" w:type="dxa"/>
          </w:tcPr>
          <w:p w14:paraId="4C9BBB40" w14:textId="5235D73B" w:rsidR="00D60B76" w:rsidRPr="00D60B76" w:rsidRDefault="00D60B76" w:rsidP="001C163E">
            <w:pPr>
              <w:spacing w:before="40" w:after="40"/>
              <w:rPr>
                <w:color w:val="333333"/>
              </w:rPr>
            </w:pPr>
            <w:r w:rsidRPr="00D60B76">
              <w:t>39</w:t>
            </w:r>
          </w:p>
        </w:tc>
        <w:tc>
          <w:tcPr>
            <w:tcW w:w="5670" w:type="dxa"/>
          </w:tcPr>
          <w:p w14:paraId="6C3259F0" w14:textId="2EAC04A0" w:rsidR="00D60B76" w:rsidRPr="00D60B76" w:rsidRDefault="00D60B76" w:rsidP="007B6532">
            <w:pPr>
              <w:spacing w:before="40" w:after="40"/>
              <w:jc w:val="both"/>
            </w:pPr>
            <w:r w:rsidRPr="00D60B76">
              <w:t>Will blogs suffice? Are there specific types of materials the State is expecting to see?</w:t>
            </w:r>
          </w:p>
        </w:tc>
        <w:tc>
          <w:tcPr>
            <w:tcW w:w="5760" w:type="dxa"/>
            <w:shd w:val="clear" w:color="auto" w:fill="auto"/>
          </w:tcPr>
          <w:p w14:paraId="62B13D67" w14:textId="1DB43556" w:rsidR="00D60B76" w:rsidRPr="00D60B76" w:rsidRDefault="00D60B76" w:rsidP="007B6532">
            <w:pPr>
              <w:spacing w:before="40" w:after="40"/>
              <w:jc w:val="both"/>
              <w:rPr>
                <w:b/>
                <w:bCs/>
              </w:rPr>
            </w:pPr>
            <w:r w:rsidRPr="00D60B76">
              <w:rPr>
                <w:b/>
                <w:bCs/>
              </w:rPr>
              <w:t xml:space="preserve">Bidder should refer to the requested description in Section 4.2.4.2. Proposals will be scored accordingly. </w:t>
            </w:r>
          </w:p>
        </w:tc>
      </w:tr>
      <w:tr w:rsidR="00D60B76" w:rsidRPr="004936F0" w14:paraId="7386BE8F" w14:textId="568D4D75" w:rsidTr="00D60B76">
        <w:tc>
          <w:tcPr>
            <w:tcW w:w="462" w:type="dxa"/>
            <w:shd w:val="clear" w:color="auto" w:fill="D9D9D9" w:themeFill="background1" w:themeFillShade="D9"/>
          </w:tcPr>
          <w:p w14:paraId="040B8122" w14:textId="573C450C" w:rsidR="00D60B76" w:rsidRPr="004936F0" w:rsidRDefault="00D60B76" w:rsidP="001C163E">
            <w:pPr>
              <w:spacing w:before="40" w:after="40"/>
              <w:rPr>
                <w:b/>
                <w:bCs/>
              </w:rPr>
            </w:pPr>
            <w:r w:rsidRPr="004936F0">
              <w:rPr>
                <w:b/>
                <w:bCs/>
                <w:color w:val="000000"/>
              </w:rPr>
              <w:t>47</w:t>
            </w:r>
          </w:p>
        </w:tc>
        <w:tc>
          <w:tcPr>
            <w:tcW w:w="1696" w:type="dxa"/>
          </w:tcPr>
          <w:p w14:paraId="48659AE4" w14:textId="53ACEBCF" w:rsidR="00D60B76" w:rsidRPr="00D60B76" w:rsidRDefault="00D60B76" w:rsidP="001C163E">
            <w:pPr>
              <w:spacing w:before="40" w:after="40"/>
              <w:rPr>
                <w:color w:val="333333"/>
              </w:rPr>
            </w:pPr>
            <w:r w:rsidRPr="00D60B76">
              <w:t>4.3.1.9. Overall Management</w:t>
            </w:r>
          </w:p>
        </w:tc>
        <w:tc>
          <w:tcPr>
            <w:tcW w:w="717" w:type="dxa"/>
          </w:tcPr>
          <w:p w14:paraId="7CF3F6BD" w14:textId="2BDF4CF3" w:rsidR="00D60B76" w:rsidRPr="00D60B76" w:rsidRDefault="00D60B76" w:rsidP="001C163E">
            <w:pPr>
              <w:spacing w:before="40" w:after="40"/>
              <w:rPr>
                <w:color w:val="333333"/>
              </w:rPr>
            </w:pPr>
            <w:r w:rsidRPr="00D60B76">
              <w:t>40</w:t>
            </w:r>
          </w:p>
        </w:tc>
        <w:tc>
          <w:tcPr>
            <w:tcW w:w="5670" w:type="dxa"/>
          </w:tcPr>
          <w:p w14:paraId="5D58E21A" w14:textId="2C1095F4" w:rsidR="00D60B76" w:rsidRPr="00D60B76" w:rsidRDefault="00D60B76" w:rsidP="007B6532">
            <w:pPr>
              <w:spacing w:before="40" w:after="200"/>
              <w:jc w:val="both"/>
              <w:rPr>
                <w:color w:val="333333"/>
                <w:sz w:val="20"/>
                <w:szCs w:val="20"/>
              </w:rPr>
            </w:pPr>
            <w:r w:rsidRPr="00D60B76">
              <w:t>Would the State consider our model portfolios for this?</w:t>
            </w:r>
            <w:r w:rsidRPr="00D60B76">
              <w:rPr>
                <w:sz w:val="20"/>
                <w:szCs w:val="20"/>
              </w:rPr>
              <w:t xml:space="preserve"> </w:t>
            </w:r>
          </w:p>
        </w:tc>
        <w:tc>
          <w:tcPr>
            <w:tcW w:w="5760" w:type="dxa"/>
            <w:shd w:val="clear" w:color="auto" w:fill="auto"/>
          </w:tcPr>
          <w:p w14:paraId="1A76D0CE" w14:textId="3318A2D2" w:rsidR="00D60B76" w:rsidRPr="00D60B76" w:rsidRDefault="00D60B76" w:rsidP="007B6532">
            <w:pPr>
              <w:spacing w:before="40" w:after="40"/>
              <w:jc w:val="both"/>
              <w:rPr>
                <w:b/>
                <w:bCs/>
              </w:rPr>
            </w:pPr>
            <w:r w:rsidRPr="00D60B76">
              <w:rPr>
                <w:b/>
                <w:bCs/>
              </w:rPr>
              <w:t>Responses to Section 4.3.1.9 should use the format provided.</w:t>
            </w:r>
          </w:p>
          <w:p w14:paraId="532B2A67" w14:textId="3A06A2A3" w:rsidR="00D60B76" w:rsidRPr="00D60B76" w:rsidRDefault="00D60B76" w:rsidP="007B6532">
            <w:pPr>
              <w:spacing w:before="40" w:after="40"/>
              <w:jc w:val="both"/>
              <w:rPr>
                <w:b/>
                <w:bCs/>
              </w:rPr>
            </w:pPr>
          </w:p>
          <w:p w14:paraId="35E6D504" w14:textId="294DB465" w:rsidR="00D60B76" w:rsidRPr="00D60B76" w:rsidRDefault="00D60B76" w:rsidP="007B6532">
            <w:pPr>
              <w:spacing w:before="40" w:after="40"/>
              <w:jc w:val="both"/>
              <w:rPr>
                <w:b/>
                <w:bCs/>
              </w:rPr>
            </w:pPr>
            <w:r w:rsidRPr="00D60B76">
              <w:rPr>
                <w:b/>
                <w:bCs/>
              </w:rPr>
              <w:t xml:space="preserve">Note: The submitted Question included a link to the Potential Bidder’s website. The link has been removed. </w:t>
            </w:r>
          </w:p>
        </w:tc>
      </w:tr>
      <w:tr w:rsidR="00D60B76" w:rsidRPr="004936F0" w14:paraId="61A57BAE" w14:textId="3082DBC4" w:rsidTr="00D60B76">
        <w:tc>
          <w:tcPr>
            <w:tcW w:w="462" w:type="dxa"/>
            <w:shd w:val="clear" w:color="auto" w:fill="D9D9D9" w:themeFill="background1" w:themeFillShade="D9"/>
          </w:tcPr>
          <w:p w14:paraId="0E7F94A8" w14:textId="3E31C80F" w:rsidR="00D60B76" w:rsidRPr="004936F0" w:rsidRDefault="00D60B76" w:rsidP="001C163E">
            <w:pPr>
              <w:spacing w:before="40" w:after="40"/>
              <w:rPr>
                <w:b/>
                <w:bCs/>
                <w:color w:val="000000"/>
              </w:rPr>
            </w:pPr>
            <w:r w:rsidRPr="004936F0">
              <w:rPr>
                <w:b/>
                <w:bCs/>
                <w:color w:val="000000"/>
              </w:rPr>
              <w:t>48</w:t>
            </w:r>
          </w:p>
        </w:tc>
        <w:tc>
          <w:tcPr>
            <w:tcW w:w="1696" w:type="dxa"/>
          </w:tcPr>
          <w:p w14:paraId="4F76B511" w14:textId="1C2A1161" w:rsidR="00D60B76" w:rsidRPr="00D60B76" w:rsidRDefault="00D60B76" w:rsidP="001C163E">
            <w:pPr>
              <w:spacing w:before="40" w:after="40"/>
            </w:pPr>
            <w:r w:rsidRPr="00D60B76">
              <w:t>Request for Proposal Sections 4.3</w:t>
            </w:r>
          </w:p>
        </w:tc>
        <w:tc>
          <w:tcPr>
            <w:tcW w:w="717" w:type="dxa"/>
          </w:tcPr>
          <w:p w14:paraId="180D2452" w14:textId="50788A34" w:rsidR="00D60B76" w:rsidRPr="00D60B76" w:rsidRDefault="00D60B76" w:rsidP="001C163E">
            <w:pPr>
              <w:spacing w:before="40" w:after="40"/>
            </w:pPr>
            <w:r w:rsidRPr="00D60B76">
              <w:t>41</w:t>
            </w:r>
          </w:p>
        </w:tc>
        <w:tc>
          <w:tcPr>
            <w:tcW w:w="5670" w:type="dxa"/>
          </w:tcPr>
          <w:p w14:paraId="594D0D7D" w14:textId="77777777" w:rsidR="00D60B76" w:rsidRPr="00D60B76" w:rsidRDefault="00D60B76" w:rsidP="007B6532">
            <w:pPr>
              <w:pStyle w:val="TableParagraph"/>
              <w:spacing w:before="40" w:after="200"/>
              <w:ind w:right="105"/>
              <w:jc w:val="both"/>
            </w:pPr>
            <w:r w:rsidRPr="00D60B76">
              <w:t xml:space="preserve">In the Proposed Investments section (4.3.2), it mentions the Bidder should state whether there has been a time when any of the Bidder’s proposed product(s) </w:t>
            </w:r>
            <w:r w:rsidRPr="00D60B76">
              <w:lastRenderedPageBreak/>
              <w:t>significantly underperformed its benchmark over a consecutive three-quarter period.</w:t>
            </w:r>
          </w:p>
          <w:p w14:paraId="1C0B3EF4" w14:textId="5CBF5124" w:rsidR="00D60B76" w:rsidRPr="00D60B76" w:rsidRDefault="00D60B76" w:rsidP="007B6532">
            <w:pPr>
              <w:spacing w:before="40" w:after="40"/>
              <w:jc w:val="both"/>
            </w:pPr>
            <w:r w:rsidRPr="00D60B76">
              <w:t>Are there any parameters for how “significantly underperformed?” is measured?</w:t>
            </w:r>
          </w:p>
        </w:tc>
        <w:tc>
          <w:tcPr>
            <w:tcW w:w="5760" w:type="dxa"/>
            <w:shd w:val="clear" w:color="auto" w:fill="auto"/>
          </w:tcPr>
          <w:p w14:paraId="767AD760" w14:textId="781C1705" w:rsidR="00D60B76" w:rsidRPr="00D60B76" w:rsidRDefault="00A85214" w:rsidP="007B6532">
            <w:pPr>
              <w:spacing w:before="40" w:after="40"/>
              <w:jc w:val="both"/>
              <w:rPr>
                <w:b/>
              </w:rPr>
            </w:pPr>
            <w:r>
              <w:rPr>
                <w:b/>
              </w:rPr>
              <w:lastRenderedPageBreak/>
              <w:t>The Program</w:t>
            </w:r>
            <w:r w:rsidR="00D60B76" w:rsidRPr="00D60B76">
              <w:rPr>
                <w:b/>
              </w:rPr>
              <w:t xml:space="preserve"> would be interested to understand where notable disparity of returns is present. Bidder </w:t>
            </w:r>
            <w:r w:rsidR="00D60B76" w:rsidRPr="00D60B76">
              <w:rPr>
                <w:b/>
              </w:rPr>
              <w:lastRenderedPageBreak/>
              <w:t>should include in its response to Section 4.3.2.7 how the instances identified, if any, were selected.</w:t>
            </w:r>
          </w:p>
        </w:tc>
      </w:tr>
      <w:tr w:rsidR="00D60B76" w:rsidRPr="004936F0" w14:paraId="31C0F41C" w14:textId="50D5D2E1" w:rsidTr="00D60B76">
        <w:tc>
          <w:tcPr>
            <w:tcW w:w="462" w:type="dxa"/>
            <w:shd w:val="clear" w:color="auto" w:fill="D9D9D9" w:themeFill="background1" w:themeFillShade="D9"/>
          </w:tcPr>
          <w:p w14:paraId="50B555D0" w14:textId="16D4B41B" w:rsidR="00D60B76" w:rsidRPr="004936F0" w:rsidRDefault="00D60B76" w:rsidP="001C163E">
            <w:pPr>
              <w:spacing w:before="40" w:after="40"/>
              <w:rPr>
                <w:b/>
                <w:bCs/>
                <w:color w:val="000000"/>
              </w:rPr>
            </w:pPr>
            <w:r w:rsidRPr="004936F0">
              <w:rPr>
                <w:b/>
                <w:bCs/>
                <w:color w:val="000000"/>
              </w:rPr>
              <w:lastRenderedPageBreak/>
              <w:t>49</w:t>
            </w:r>
          </w:p>
        </w:tc>
        <w:tc>
          <w:tcPr>
            <w:tcW w:w="1696" w:type="dxa"/>
          </w:tcPr>
          <w:p w14:paraId="57A9F503" w14:textId="68647F6E" w:rsidR="00D60B76" w:rsidRPr="00D60B76" w:rsidRDefault="00D60B76" w:rsidP="001C163E">
            <w:pPr>
              <w:spacing w:before="40" w:after="40"/>
            </w:pPr>
            <w:r w:rsidRPr="00D60B76">
              <w:t>4.3.5. Active Strategies</w:t>
            </w:r>
          </w:p>
        </w:tc>
        <w:tc>
          <w:tcPr>
            <w:tcW w:w="717" w:type="dxa"/>
          </w:tcPr>
          <w:p w14:paraId="2E2955DF" w14:textId="68E24CF3" w:rsidR="00D60B76" w:rsidRPr="00D60B76" w:rsidRDefault="00D60B76" w:rsidP="001C163E">
            <w:pPr>
              <w:spacing w:before="40" w:after="40"/>
            </w:pPr>
            <w:r w:rsidRPr="00D60B76">
              <w:t>42 – 43</w:t>
            </w:r>
          </w:p>
        </w:tc>
        <w:tc>
          <w:tcPr>
            <w:tcW w:w="5670" w:type="dxa"/>
          </w:tcPr>
          <w:p w14:paraId="06854B28" w14:textId="3A3F45ED" w:rsidR="00D60B76" w:rsidRPr="00D60B76" w:rsidRDefault="00D60B76" w:rsidP="007B6532">
            <w:pPr>
              <w:spacing w:before="40" w:after="40"/>
              <w:jc w:val="both"/>
            </w:pPr>
            <w:r w:rsidRPr="00D60B76">
              <w:t>RFP Section 4.3.5. states that bidders may submit active investment management strategies for Lot 2, Lot 3, and/or Lot 4. In the Investment Options and Evaluation section of the Draft Investment Policy Statement (Exhibit B), the description of the Growth Fund and the Growth and Income Fund states “The investment option will be a passively invested strategy.”  Will active investment strategies be considered for Lot 2 (Growth Fund), and Lot 3 (Growth and Income Fund)?  If so, will the Draft Investment Policy Statement be revised?</w:t>
            </w:r>
          </w:p>
        </w:tc>
        <w:tc>
          <w:tcPr>
            <w:tcW w:w="5760" w:type="dxa"/>
            <w:shd w:val="clear" w:color="auto" w:fill="auto"/>
          </w:tcPr>
          <w:p w14:paraId="30166B40" w14:textId="12A64EFB" w:rsidR="00BE08E0" w:rsidRPr="005A4B49" w:rsidRDefault="00D60B76" w:rsidP="007B6532">
            <w:pPr>
              <w:spacing w:before="40" w:after="40"/>
              <w:jc w:val="both"/>
              <w:rPr>
                <w:b/>
                <w:bCs/>
              </w:rPr>
            </w:pPr>
            <w:r w:rsidRPr="00D60B76">
              <w:rPr>
                <w:b/>
                <w:bCs/>
              </w:rPr>
              <w:t xml:space="preserve">While the Board prefers passive investment strategies for Lot 2 and Lot 3 as described in the draft Investment Policy Statement (Exhibit B), Bidders can propose passive and/or active investment strategies for these Lots. </w:t>
            </w:r>
            <w:r w:rsidR="00F90C72">
              <w:rPr>
                <w:b/>
                <w:bCs/>
              </w:rPr>
              <w:t xml:space="preserve">See </w:t>
            </w:r>
            <w:r w:rsidR="00F90C72" w:rsidRPr="005A4B49">
              <w:rPr>
                <w:b/>
                <w:bCs/>
              </w:rPr>
              <w:t xml:space="preserve">Amendment #1. </w:t>
            </w:r>
          </w:p>
          <w:p w14:paraId="0FA19162" w14:textId="4B58FE09" w:rsidR="00D60B76" w:rsidRPr="005A4B49" w:rsidRDefault="00D60B76" w:rsidP="007B6532">
            <w:pPr>
              <w:spacing w:before="40"/>
              <w:jc w:val="both"/>
              <w:rPr>
                <w:b/>
                <w:bCs/>
              </w:rPr>
            </w:pPr>
            <w:r w:rsidRPr="005A4B49">
              <w:rPr>
                <w:b/>
                <w:bCs/>
              </w:rPr>
              <w:t xml:space="preserve"> </w:t>
            </w:r>
          </w:p>
          <w:p w14:paraId="42A0E6BF" w14:textId="1B40A9F0" w:rsidR="00D60B76" w:rsidRPr="00D60B76" w:rsidRDefault="00D60B76" w:rsidP="007B6532">
            <w:pPr>
              <w:spacing w:after="40"/>
              <w:jc w:val="both"/>
              <w:rPr>
                <w:b/>
                <w:bCs/>
              </w:rPr>
            </w:pPr>
            <w:r w:rsidRPr="005A4B49">
              <w:rPr>
                <w:b/>
                <w:bCs/>
              </w:rPr>
              <w:t xml:space="preserve">The IPS will be amended </w:t>
            </w:r>
            <w:r w:rsidR="001F6815" w:rsidRPr="005A4B49">
              <w:rPr>
                <w:b/>
                <w:bCs/>
              </w:rPr>
              <w:t>(</w:t>
            </w:r>
            <w:r w:rsidR="00A85214">
              <w:rPr>
                <w:b/>
                <w:bCs/>
              </w:rPr>
              <w:t>as needed</w:t>
            </w:r>
            <w:r w:rsidR="001F6815" w:rsidRPr="005A4B49">
              <w:rPr>
                <w:b/>
                <w:bCs/>
              </w:rPr>
              <w:t xml:space="preserve">) </w:t>
            </w:r>
            <w:r w:rsidRPr="005A4B49">
              <w:rPr>
                <w:b/>
                <w:bCs/>
              </w:rPr>
              <w:t>and approved by the Board once the PA and IM(s) are onboarded</w:t>
            </w:r>
            <w:r w:rsidRPr="00D60B76">
              <w:rPr>
                <w:b/>
                <w:bCs/>
              </w:rPr>
              <w:t>.</w:t>
            </w:r>
          </w:p>
        </w:tc>
      </w:tr>
      <w:tr w:rsidR="00D60B76" w:rsidRPr="004936F0" w14:paraId="1040D8DD" w14:textId="6987AB84" w:rsidTr="00D60B76">
        <w:tc>
          <w:tcPr>
            <w:tcW w:w="462" w:type="dxa"/>
            <w:shd w:val="clear" w:color="auto" w:fill="D9D9D9" w:themeFill="background1" w:themeFillShade="D9"/>
          </w:tcPr>
          <w:p w14:paraId="1349786D" w14:textId="790E1C50" w:rsidR="00D60B76" w:rsidRPr="004936F0" w:rsidRDefault="00D60B76" w:rsidP="001C163E">
            <w:pPr>
              <w:spacing w:before="40" w:after="40"/>
              <w:rPr>
                <w:b/>
                <w:bCs/>
              </w:rPr>
            </w:pPr>
            <w:r w:rsidRPr="004936F0">
              <w:rPr>
                <w:b/>
                <w:bCs/>
                <w:color w:val="000000"/>
              </w:rPr>
              <w:t>50</w:t>
            </w:r>
          </w:p>
        </w:tc>
        <w:tc>
          <w:tcPr>
            <w:tcW w:w="1696" w:type="dxa"/>
          </w:tcPr>
          <w:p w14:paraId="049DA679" w14:textId="44919A25" w:rsidR="00D60B76" w:rsidRPr="00D60B76" w:rsidRDefault="00D60B76" w:rsidP="001C163E">
            <w:pPr>
              <w:spacing w:before="40" w:after="40"/>
              <w:rPr>
                <w:color w:val="333333"/>
              </w:rPr>
            </w:pPr>
            <w:r w:rsidRPr="00D60B76">
              <w:t>5.2 Investment Management Services</w:t>
            </w:r>
          </w:p>
        </w:tc>
        <w:tc>
          <w:tcPr>
            <w:tcW w:w="717" w:type="dxa"/>
          </w:tcPr>
          <w:p w14:paraId="2F081E44" w14:textId="20D3654B" w:rsidR="00D60B76" w:rsidRPr="00D60B76" w:rsidRDefault="00D60B76" w:rsidP="001C163E">
            <w:pPr>
              <w:spacing w:before="40" w:after="40"/>
              <w:rPr>
                <w:color w:val="333333"/>
              </w:rPr>
            </w:pPr>
            <w:r w:rsidRPr="00D60B76">
              <w:t>44</w:t>
            </w:r>
          </w:p>
        </w:tc>
        <w:tc>
          <w:tcPr>
            <w:tcW w:w="5670" w:type="dxa"/>
          </w:tcPr>
          <w:p w14:paraId="2737C792" w14:textId="375B95F6" w:rsidR="00D60B76" w:rsidRPr="00D60B76" w:rsidRDefault="00D60B76" w:rsidP="007B6532">
            <w:pPr>
              <w:spacing w:before="40" w:after="40"/>
              <w:jc w:val="both"/>
              <w:rPr>
                <w:color w:val="333333"/>
              </w:rPr>
            </w:pPr>
            <w:r w:rsidRPr="00D60B76">
              <w:t>Does this allow us to waive the target retirement date option?</w:t>
            </w:r>
          </w:p>
        </w:tc>
        <w:tc>
          <w:tcPr>
            <w:tcW w:w="5760" w:type="dxa"/>
            <w:shd w:val="clear" w:color="auto" w:fill="auto"/>
          </w:tcPr>
          <w:p w14:paraId="21F006C8" w14:textId="7024F68F" w:rsidR="00D60B76" w:rsidRPr="00D60B76" w:rsidRDefault="00D60B76" w:rsidP="007B6532">
            <w:pPr>
              <w:spacing w:before="40" w:after="40"/>
              <w:jc w:val="both"/>
              <w:rPr>
                <w:b/>
                <w:bCs/>
              </w:rPr>
            </w:pPr>
            <w:r w:rsidRPr="00D60B76">
              <w:rPr>
                <w:b/>
                <w:bCs/>
              </w:rPr>
              <w:t xml:space="preserve">Bidders proposing IM Services are not required to submit a </w:t>
            </w:r>
            <w:r w:rsidR="007B6532">
              <w:rPr>
                <w:b/>
                <w:bCs/>
              </w:rPr>
              <w:t>P</w:t>
            </w:r>
            <w:r w:rsidRPr="00D60B76">
              <w:rPr>
                <w:b/>
                <w:bCs/>
              </w:rPr>
              <w:t xml:space="preserve">roposal for all investment options envisioned in the draft IPS. </w:t>
            </w:r>
          </w:p>
        </w:tc>
      </w:tr>
      <w:tr w:rsidR="00D60B76" w:rsidRPr="004936F0" w14:paraId="1614E849" w14:textId="6D58BC3C" w:rsidTr="00D60B76">
        <w:tc>
          <w:tcPr>
            <w:tcW w:w="462" w:type="dxa"/>
            <w:shd w:val="clear" w:color="auto" w:fill="D9D9D9" w:themeFill="background1" w:themeFillShade="D9"/>
          </w:tcPr>
          <w:p w14:paraId="22CC3E39" w14:textId="2D612538" w:rsidR="00D60B76" w:rsidRPr="004936F0" w:rsidRDefault="00D60B76" w:rsidP="001C163E">
            <w:pPr>
              <w:spacing w:before="40" w:after="40"/>
              <w:rPr>
                <w:b/>
                <w:bCs/>
              </w:rPr>
            </w:pPr>
            <w:r w:rsidRPr="004936F0">
              <w:rPr>
                <w:b/>
                <w:bCs/>
                <w:color w:val="000000"/>
              </w:rPr>
              <w:t>51</w:t>
            </w:r>
          </w:p>
        </w:tc>
        <w:tc>
          <w:tcPr>
            <w:tcW w:w="1696" w:type="dxa"/>
          </w:tcPr>
          <w:p w14:paraId="107BE36E" w14:textId="4F94C5EC" w:rsidR="00D60B76" w:rsidRPr="00D60B76" w:rsidRDefault="00D60B76" w:rsidP="001C163E">
            <w:pPr>
              <w:spacing w:before="40" w:after="40"/>
              <w:rPr>
                <w:color w:val="333333"/>
              </w:rPr>
            </w:pPr>
            <w:r w:rsidRPr="00D60B76">
              <w:t>6.4.5. Business Participation Opportunities for MWBEs</w:t>
            </w:r>
          </w:p>
        </w:tc>
        <w:tc>
          <w:tcPr>
            <w:tcW w:w="717" w:type="dxa"/>
          </w:tcPr>
          <w:p w14:paraId="7BD0BAD0" w14:textId="1979DA7C" w:rsidR="00D60B76" w:rsidRPr="00D60B76" w:rsidRDefault="00D60B76" w:rsidP="001C163E">
            <w:pPr>
              <w:spacing w:before="40" w:after="40"/>
              <w:rPr>
                <w:color w:val="333333"/>
              </w:rPr>
            </w:pPr>
            <w:r w:rsidRPr="00D60B76">
              <w:t>50</w:t>
            </w:r>
          </w:p>
        </w:tc>
        <w:tc>
          <w:tcPr>
            <w:tcW w:w="5670" w:type="dxa"/>
          </w:tcPr>
          <w:p w14:paraId="37F16B29" w14:textId="77777777" w:rsidR="00D60B76" w:rsidRPr="00D60B76" w:rsidRDefault="00D60B76" w:rsidP="007B6532">
            <w:pPr>
              <w:keepNext/>
              <w:spacing w:before="40" w:after="200"/>
              <w:jc w:val="both"/>
            </w:pPr>
            <w:r w:rsidRPr="00D60B76">
              <w:t>For purposes of this solicitation, the State hereby establishes an overall goal of 0% percent for MWBE participation, 0% percent for New York State-certified Minority-owned Business Enterprise (“MBE”) participation and 0% percent for New York State-certified Women-owned Business Enterprise (“WBE”) participation (based on the current availability of MBEs and WBEs).</w:t>
            </w:r>
          </w:p>
          <w:p w14:paraId="1FE86D39" w14:textId="407D44E6" w:rsidR="00D60B76" w:rsidRPr="00D60B76" w:rsidRDefault="00D60B76" w:rsidP="007B6532">
            <w:pPr>
              <w:spacing w:before="40" w:after="40"/>
              <w:jc w:val="both"/>
              <w:rPr>
                <w:color w:val="333333"/>
              </w:rPr>
            </w:pPr>
            <w:bookmarkStart w:id="4" w:name="_qrq9fjq9123h" w:colFirst="0" w:colLast="0"/>
            <w:bookmarkEnd w:id="4"/>
            <w:r w:rsidRPr="00D60B76">
              <w:t>Seeking clarification on the term above - is this an actual requirement if the overall goal is 0%?</w:t>
            </w:r>
          </w:p>
        </w:tc>
        <w:tc>
          <w:tcPr>
            <w:tcW w:w="5760" w:type="dxa"/>
            <w:shd w:val="clear" w:color="auto" w:fill="auto"/>
          </w:tcPr>
          <w:p w14:paraId="32B2F2AF" w14:textId="60B6E587" w:rsidR="00D60B76" w:rsidRPr="00D60B76" w:rsidRDefault="00D60B76" w:rsidP="007B6532">
            <w:pPr>
              <w:spacing w:before="40" w:after="40"/>
              <w:jc w:val="both"/>
              <w:rPr>
                <w:b/>
                <w:bCs/>
              </w:rPr>
            </w:pPr>
            <w:r w:rsidRPr="00D60B76">
              <w:rPr>
                <w:b/>
                <w:bCs/>
              </w:rPr>
              <w:t xml:space="preserve">For purposes of this solicitation, there is no requirement for MWBE participation.   </w:t>
            </w:r>
          </w:p>
        </w:tc>
      </w:tr>
      <w:tr w:rsidR="00D60B76" w:rsidRPr="004936F0" w14:paraId="239830CA" w14:textId="56557DD5" w:rsidTr="00D60B76">
        <w:tc>
          <w:tcPr>
            <w:tcW w:w="462" w:type="dxa"/>
            <w:shd w:val="clear" w:color="auto" w:fill="D9D9D9" w:themeFill="background1" w:themeFillShade="D9"/>
          </w:tcPr>
          <w:p w14:paraId="3B2001A6" w14:textId="02DDAE70" w:rsidR="00D60B76" w:rsidRPr="004936F0" w:rsidRDefault="00D60B76" w:rsidP="001C163E">
            <w:pPr>
              <w:spacing w:before="40" w:after="40"/>
              <w:rPr>
                <w:b/>
                <w:bCs/>
              </w:rPr>
            </w:pPr>
            <w:r w:rsidRPr="004936F0">
              <w:rPr>
                <w:b/>
                <w:bCs/>
                <w:color w:val="000000"/>
              </w:rPr>
              <w:t>52</w:t>
            </w:r>
          </w:p>
        </w:tc>
        <w:tc>
          <w:tcPr>
            <w:tcW w:w="1696" w:type="dxa"/>
          </w:tcPr>
          <w:p w14:paraId="55EC21EF" w14:textId="2DBB2D4B" w:rsidR="00D60B76" w:rsidRPr="00D60B76" w:rsidRDefault="00D60B76" w:rsidP="001C163E">
            <w:pPr>
              <w:spacing w:before="40" w:after="40"/>
              <w:rPr>
                <w:color w:val="333333"/>
              </w:rPr>
            </w:pPr>
            <w:r w:rsidRPr="00D60B76">
              <w:t>8.2 – Evaluation Process Overview</w:t>
            </w:r>
          </w:p>
        </w:tc>
        <w:tc>
          <w:tcPr>
            <w:tcW w:w="717" w:type="dxa"/>
          </w:tcPr>
          <w:p w14:paraId="5EDEA57D" w14:textId="00C54FF2" w:rsidR="00D60B76" w:rsidRPr="00D60B76" w:rsidRDefault="00D60B76" w:rsidP="001C163E">
            <w:pPr>
              <w:spacing w:before="40" w:after="40"/>
              <w:rPr>
                <w:color w:val="333333"/>
              </w:rPr>
            </w:pPr>
            <w:r w:rsidRPr="00D60B76">
              <w:t>61</w:t>
            </w:r>
          </w:p>
        </w:tc>
        <w:tc>
          <w:tcPr>
            <w:tcW w:w="5670" w:type="dxa"/>
          </w:tcPr>
          <w:p w14:paraId="204AB486" w14:textId="7704590D" w:rsidR="00D60B76" w:rsidRPr="00D60B76" w:rsidRDefault="00D60B76" w:rsidP="007B6532">
            <w:pPr>
              <w:spacing w:before="40" w:after="40"/>
              <w:jc w:val="both"/>
              <w:rPr>
                <w:color w:val="333333"/>
              </w:rPr>
            </w:pPr>
            <w:r w:rsidRPr="00D60B76">
              <w:t>Does the Department plan to conduct interviews as part of its evaluation of Proposals and Bidders? If so, would interviews have any impact on the scoring described in 8.2.2?</w:t>
            </w:r>
          </w:p>
        </w:tc>
        <w:tc>
          <w:tcPr>
            <w:tcW w:w="5760" w:type="dxa"/>
            <w:shd w:val="clear" w:color="auto" w:fill="auto"/>
          </w:tcPr>
          <w:p w14:paraId="6CFC3C0A" w14:textId="0286895D" w:rsidR="00D60B76" w:rsidRPr="00D60B76" w:rsidRDefault="00D60B76" w:rsidP="007B6532">
            <w:pPr>
              <w:spacing w:before="40" w:after="40"/>
              <w:jc w:val="both"/>
              <w:rPr>
                <w:b/>
                <w:bCs/>
              </w:rPr>
            </w:pPr>
            <w:r w:rsidRPr="00D60B76">
              <w:rPr>
                <w:b/>
                <w:bCs/>
              </w:rPr>
              <w:t>No</w:t>
            </w:r>
            <w:r w:rsidR="00794FE3">
              <w:rPr>
                <w:b/>
                <w:bCs/>
              </w:rPr>
              <w:t>,</w:t>
            </w:r>
            <w:r w:rsidRPr="00D60B76">
              <w:rPr>
                <w:b/>
                <w:bCs/>
              </w:rPr>
              <w:t xml:space="preserve"> the Board does not plan to conduct any interviews.</w:t>
            </w:r>
          </w:p>
        </w:tc>
      </w:tr>
      <w:tr w:rsidR="00D60B76" w:rsidRPr="004936F0" w14:paraId="78DC8EEE" w14:textId="4C26B610" w:rsidTr="00D60B76">
        <w:tc>
          <w:tcPr>
            <w:tcW w:w="462" w:type="dxa"/>
            <w:shd w:val="clear" w:color="auto" w:fill="D9D9D9" w:themeFill="background1" w:themeFillShade="D9"/>
          </w:tcPr>
          <w:p w14:paraId="5B95512E" w14:textId="0D79B10B" w:rsidR="00D60B76" w:rsidRPr="004936F0" w:rsidRDefault="00D60B76" w:rsidP="001C163E">
            <w:pPr>
              <w:spacing w:before="40" w:after="40"/>
              <w:rPr>
                <w:b/>
                <w:bCs/>
              </w:rPr>
            </w:pPr>
            <w:bookmarkStart w:id="5" w:name="_Hlk140064320"/>
            <w:r w:rsidRPr="004936F0">
              <w:rPr>
                <w:b/>
                <w:bCs/>
                <w:color w:val="000000"/>
              </w:rPr>
              <w:t>53</w:t>
            </w:r>
          </w:p>
        </w:tc>
        <w:tc>
          <w:tcPr>
            <w:tcW w:w="1696" w:type="dxa"/>
          </w:tcPr>
          <w:p w14:paraId="17ABF6C3" w14:textId="77777777" w:rsidR="00D60B76" w:rsidRPr="00D60B76" w:rsidRDefault="00D60B76" w:rsidP="001C163E">
            <w:pPr>
              <w:spacing w:before="40" w:after="40"/>
            </w:pPr>
            <w:r w:rsidRPr="00D60B76">
              <w:t xml:space="preserve">Appendix A </w:t>
            </w:r>
          </w:p>
          <w:p w14:paraId="46F5377C" w14:textId="77777777" w:rsidR="00D60B76" w:rsidRPr="00D60B76" w:rsidRDefault="00D60B76" w:rsidP="001C163E">
            <w:pPr>
              <w:spacing w:before="40" w:after="40"/>
            </w:pPr>
          </w:p>
          <w:p w14:paraId="0A583F42" w14:textId="3B264A17" w:rsidR="00D60B76" w:rsidRPr="00D60B76" w:rsidRDefault="00D60B76" w:rsidP="001C163E">
            <w:pPr>
              <w:spacing w:before="40" w:after="40"/>
              <w:rPr>
                <w:color w:val="333333"/>
              </w:rPr>
            </w:pPr>
            <w:r w:rsidRPr="00D60B76">
              <w:lastRenderedPageBreak/>
              <w:t>Request for Proposal Section 6.2</w:t>
            </w:r>
          </w:p>
        </w:tc>
        <w:tc>
          <w:tcPr>
            <w:tcW w:w="717" w:type="dxa"/>
          </w:tcPr>
          <w:p w14:paraId="70E9B959" w14:textId="6A184C7B" w:rsidR="00D60B76" w:rsidRPr="00D60B76" w:rsidRDefault="00D60B76" w:rsidP="001C163E">
            <w:pPr>
              <w:pStyle w:val="TableParagraph"/>
              <w:spacing w:before="40" w:after="40"/>
            </w:pPr>
            <w:r w:rsidRPr="00D60B76">
              <w:lastRenderedPageBreak/>
              <w:t>3 – 9</w:t>
            </w:r>
          </w:p>
          <w:p w14:paraId="51788AB6" w14:textId="77777777" w:rsidR="00D60B76" w:rsidRPr="00D60B76" w:rsidRDefault="00D60B76" w:rsidP="001C163E">
            <w:pPr>
              <w:pStyle w:val="TableParagraph"/>
              <w:spacing w:before="40" w:after="40"/>
            </w:pPr>
          </w:p>
          <w:p w14:paraId="767F8FE1" w14:textId="7F8F0C0D" w:rsidR="00D60B76" w:rsidRPr="00D60B76" w:rsidRDefault="00D60B76" w:rsidP="001C163E">
            <w:pPr>
              <w:pStyle w:val="TableParagraph"/>
              <w:spacing w:before="40" w:after="40"/>
              <w:rPr>
                <w:color w:val="333333"/>
              </w:rPr>
            </w:pPr>
            <w:r w:rsidRPr="00D60B76">
              <w:lastRenderedPageBreak/>
              <w:t>48 – 58</w:t>
            </w:r>
          </w:p>
        </w:tc>
        <w:tc>
          <w:tcPr>
            <w:tcW w:w="5670" w:type="dxa"/>
          </w:tcPr>
          <w:p w14:paraId="37B6787E" w14:textId="2047707A" w:rsidR="00D60B76" w:rsidRPr="00D60B76" w:rsidRDefault="00D60B76" w:rsidP="007B6532">
            <w:pPr>
              <w:pStyle w:val="TableParagraph"/>
              <w:spacing w:before="40" w:after="200"/>
              <w:ind w:right="106"/>
              <w:jc w:val="both"/>
            </w:pPr>
            <w:r w:rsidRPr="00D60B76">
              <w:rPr>
                <w:b/>
              </w:rPr>
              <w:lastRenderedPageBreak/>
              <w:t xml:space="preserve">Section 6.2 and the Standard Clauses for NY State Contracts. </w:t>
            </w:r>
            <w:r w:rsidRPr="00D60B76">
              <w:t xml:space="preserve">We have several contracts in place with the </w:t>
            </w:r>
            <w:r w:rsidRPr="00D60B76">
              <w:lastRenderedPageBreak/>
              <w:t>State of New York and believe we can work with the State to reach agreement on the final terms with the State. Given the nature of the Secure Choice program, we are proposing mutual funds. These vehicles are governed by their respective registration statements and subject to Federal Securities Laws. Does the State believe that all the provisions in the Standard Clauses for NY State Contracts would be applicable, or are there specific provisions that would be deemed out of scope for this proposal? Would we be permitted to negotiate the terms of the proposed agreement?</w:t>
            </w:r>
          </w:p>
          <w:p w14:paraId="5089A2AE" w14:textId="6E393DE1" w:rsidR="00D60B76" w:rsidRPr="00D60B76" w:rsidRDefault="00D60B76" w:rsidP="007B6532">
            <w:pPr>
              <w:spacing w:before="40" w:after="40"/>
              <w:jc w:val="both"/>
              <w:rPr>
                <w:color w:val="333333"/>
              </w:rPr>
            </w:pPr>
            <w:r w:rsidRPr="00D60B76">
              <w:t>Given that we are proposing mutual funds, we would look to work with the State to ensure that the specific language in the Agreement is in line with the products proposed and consistent with requirements under Federal securities laws</w:t>
            </w:r>
          </w:p>
        </w:tc>
        <w:tc>
          <w:tcPr>
            <w:tcW w:w="5760" w:type="dxa"/>
            <w:shd w:val="clear" w:color="auto" w:fill="auto"/>
          </w:tcPr>
          <w:p w14:paraId="36A57B0B" w14:textId="6FC5F15E" w:rsidR="00D60B76" w:rsidRPr="00D60B76" w:rsidRDefault="00D60B76" w:rsidP="007B6532">
            <w:pPr>
              <w:spacing w:before="40" w:after="40"/>
              <w:jc w:val="both"/>
              <w:rPr>
                <w:b/>
                <w:bCs/>
              </w:rPr>
            </w:pPr>
            <w:r w:rsidRPr="00D60B76">
              <w:rPr>
                <w:b/>
                <w:bCs/>
              </w:rPr>
              <w:lastRenderedPageBreak/>
              <w:t xml:space="preserve">By submitting a </w:t>
            </w:r>
            <w:r w:rsidR="007B6532">
              <w:rPr>
                <w:b/>
                <w:bCs/>
              </w:rPr>
              <w:t>P</w:t>
            </w:r>
            <w:r w:rsidRPr="00D60B76">
              <w:rPr>
                <w:b/>
                <w:bCs/>
              </w:rPr>
              <w:t>roposal, Bidder agrees to all of the terms and conditions of Appendix A.</w:t>
            </w:r>
          </w:p>
          <w:p w14:paraId="7015CD41" w14:textId="77777777" w:rsidR="00D60B76" w:rsidRPr="00D60B76" w:rsidRDefault="00D60B76" w:rsidP="007B6532">
            <w:pPr>
              <w:spacing w:before="40" w:after="40"/>
              <w:jc w:val="both"/>
              <w:rPr>
                <w:b/>
                <w:bCs/>
              </w:rPr>
            </w:pPr>
          </w:p>
          <w:p w14:paraId="29BC19DD" w14:textId="77777777" w:rsidR="00D60B76" w:rsidRPr="00D60B76" w:rsidRDefault="00D60B76" w:rsidP="007B6532">
            <w:pPr>
              <w:spacing w:before="40" w:after="40"/>
              <w:jc w:val="both"/>
              <w:rPr>
                <w:b/>
                <w:bCs/>
              </w:rPr>
            </w:pPr>
          </w:p>
          <w:p w14:paraId="1529F3C9" w14:textId="77777777" w:rsidR="00D60B76" w:rsidRPr="00D60B76" w:rsidRDefault="00D60B76" w:rsidP="007B6532">
            <w:pPr>
              <w:spacing w:before="40" w:after="40"/>
              <w:jc w:val="both"/>
              <w:rPr>
                <w:b/>
                <w:bCs/>
              </w:rPr>
            </w:pPr>
          </w:p>
          <w:p w14:paraId="3AF40EFF" w14:textId="77777777" w:rsidR="00D60B76" w:rsidRPr="00D60B76" w:rsidRDefault="00D60B76" w:rsidP="007B6532">
            <w:pPr>
              <w:spacing w:before="40" w:after="40"/>
              <w:jc w:val="both"/>
              <w:rPr>
                <w:b/>
                <w:bCs/>
              </w:rPr>
            </w:pPr>
          </w:p>
          <w:p w14:paraId="787D04F5" w14:textId="77777777" w:rsidR="00D60B76" w:rsidRPr="00D60B76" w:rsidRDefault="00D60B76" w:rsidP="007B6532">
            <w:pPr>
              <w:spacing w:before="40" w:after="40"/>
              <w:jc w:val="both"/>
              <w:rPr>
                <w:b/>
                <w:bCs/>
              </w:rPr>
            </w:pPr>
          </w:p>
          <w:p w14:paraId="3FB51EA3" w14:textId="77777777" w:rsidR="00D60B76" w:rsidRPr="00D60B76" w:rsidRDefault="00D60B76" w:rsidP="007B6532">
            <w:pPr>
              <w:spacing w:before="40" w:after="40"/>
              <w:jc w:val="both"/>
              <w:rPr>
                <w:b/>
                <w:bCs/>
              </w:rPr>
            </w:pPr>
          </w:p>
          <w:p w14:paraId="20ABEAAC" w14:textId="77777777" w:rsidR="00D60B76" w:rsidRPr="00D60B76" w:rsidRDefault="00D60B76" w:rsidP="007B6532">
            <w:pPr>
              <w:spacing w:before="40" w:after="40"/>
              <w:jc w:val="both"/>
              <w:rPr>
                <w:b/>
                <w:bCs/>
              </w:rPr>
            </w:pPr>
          </w:p>
          <w:p w14:paraId="57B8D436" w14:textId="77777777" w:rsidR="00D60B76" w:rsidRPr="00D60B76" w:rsidRDefault="00D60B76" w:rsidP="007B6532">
            <w:pPr>
              <w:spacing w:before="40" w:after="40"/>
              <w:jc w:val="both"/>
              <w:rPr>
                <w:b/>
                <w:bCs/>
              </w:rPr>
            </w:pPr>
          </w:p>
          <w:p w14:paraId="0D25668F" w14:textId="77777777" w:rsidR="00D60B76" w:rsidRPr="00D60B76" w:rsidRDefault="00D60B76" w:rsidP="005022E9">
            <w:pPr>
              <w:spacing w:before="120" w:after="40"/>
              <w:jc w:val="both"/>
              <w:rPr>
                <w:b/>
                <w:bCs/>
              </w:rPr>
            </w:pPr>
          </w:p>
          <w:p w14:paraId="129DDD0C" w14:textId="671D30C4" w:rsidR="00D60B76" w:rsidRDefault="00D60B76" w:rsidP="007B6532">
            <w:pPr>
              <w:spacing w:before="40" w:after="40"/>
              <w:jc w:val="both"/>
              <w:rPr>
                <w:b/>
                <w:bCs/>
              </w:rPr>
            </w:pPr>
          </w:p>
          <w:p w14:paraId="4B32D9DB" w14:textId="26986A53" w:rsidR="00D60B76" w:rsidRPr="00D60B76" w:rsidRDefault="00D60B76" w:rsidP="007B6532">
            <w:pPr>
              <w:spacing w:after="40"/>
              <w:jc w:val="both"/>
              <w:rPr>
                <w:b/>
                <w:bCs/>
              </w:rPr>
            </w:pPr>
            <w:r w:rsidRPr="00D60B76">
              <w:rPr>
                <w:b/>
                <w:bCs/>
              </w:rPr>
              <w:t xml:space="preserve">Any such agreement will be negotiated with the </w:t>
            </w:r>
            <w:r w:rsidR="001F6815">
              <w:rPr>
                <w:b/>
                <w:bCs/>
              </w:rPr>
              <w:t xml:space="preserve">IM </w:t>
            </w:r>
            <w:r w:rsidRPr="00D60B76">
              <w:rPr>
                <w:b/>
                <w:bCs/>
              </w:rPr>
              <w:t>Contractor</w:t>
            </w:r>
            <w:r w:rsidR="001F6815">
              <w:rPr>
                <w:b/>
                <w:bCs/>
              </w:rPr>
              <w:t>(s)</w:t>
            </w:r>
            <w:r w:rsidRPr="00D60B76">
              <w:rPr>
                <w:b/>
                <w:bCs/>
              </w:rPr>
              <w:t xml:space="preserve"> to ensure it is in line with the p</w:t>
            </w:r>
            <w:r w:rsidRPr="001F6815">
              <w:rPr>
                <w:b/>
                <w:bCs/>
              </w:rPr>
              <w:t xml:space="preserve">roducts proposed and consistent with </w:t>
            </w:r>
            <w:r w:rsidR="001F6815" w:rsidRPr="001F6815">
              <w:rPr>
                <w:b/>
                <w:bCs/>
              </w:rPr>
              <w:t>all Applicable Law</w:t>
            </w:r>
            <w:r w:rsidRPr="001F6815">
              <w:rPr>
                <w:b/>
                <w:bCs/>
              </w:rPr>
              <w:t>.</w:t>
            </w:r>
          </w:p>
        </w:tc>
      </w:tr>
      <w:bookmarkEnd w:id="5"/>
      <w:tr w:rsidR="00D60B76" w:rsidRPr="004936F0" w14:paraId="1630674F" w14:textId="59F256AD" w:rsidTr="00D60B76">
        <w:tc>
          <w:tcPr>
            <w:tcW w:w="462" w:type="dxa"/>
            <w:shd w:val="clear" w:color="auto" w:fill="D9D9D9" w:themeFill="background1" w:themeFillShade="D9"/>
          </w:tcPr>
          <w:p w14:paraId="20947141" w14:textId="1089A8E0" w:rsidR="00D60B76" w:rsidRPr="004936F0" w:rsidRDefault="00D60B76" w:rsidP="001C163E">
            <w:pPr>
              <w:spacing w:before="40" w:after="40"/>
              <w:rPr>
                <w:b/>
                <w:bCs/>
              </w:rPr>
            </w:pPr>
            <w:r w:rsidRPr="004936F0">
              <w:rPr>
                <w:b/>
                <w:bCs/>
                <w:color w:val="000000"/>
              </w:rPr>
              <w:lastRenderedPageBreak/>
              <w:t>54</w:t>
            </w:r>
          </w:p>
        </w:tc>
        <w:tc>
          <w:tcPr>
            <w:tcW w:w="1696" w:type="dxa"/>
          </w:tcPr>
          <w:p w14:paraId="79C9831B" w14:textId="27268BE3" w:rsidR="00D60B76" w:rsidRPr="00D60B76" w:rsidRDefault="00D60B76" w:rsidP="001C163E">
            <w:pPr>
              <w:spacing w:before="40" w:after="40"/>
            </w:pPr>
            <w:r w:rsidRPr="00D60B76">
              <w:t>Exhibit A - Section 1307 – Investment Options</w:t>
            </w:r>
          </w:p>
        </w:tc>
        <w:tc>
          <w:tcPr>
            <w:tcW w:w="717" w:type="dxa"/>
          </w:tcPr>
          <w:p w14:paraId="42B7A15D" w14:textId="0CD1582D" w:rsidR="00D60B76" w:rsidRPr="00D60B76" w:rsidRDefault="00D60B76" w:rsidP="001C163E">
            <w:pPr>
              <w:spacing w:before="40" w:after="40"/>
            </w:pPr>
            <w:r w:rsidRPr="00D60B76">
              <w:t>8</w:t>
            </w:r>
          </w:p>
        </w:tc>
        <w:tc>
          <w:tcPr>
            <w:tcW w:w="5670" w:type="dxa"/>
          </w:tcPr>
          <w:p w14:paraId="7F8F8780" w14:textId="19740F9C" w:rsidR="00D60B76" w:rsidRPr="00D60B76" w:rsidRDefault="00D60B76" w:rsidP="007B6532">
            <w:pPr>
              <w:spacing w:before="40" w:after="40"/>
              <w:jc w:val="both"/>
            </w:pPr>
            <w:r w:rsidRPr="00D60B76">
              <w:t>If the IPS would consider a funding agreement that provided a guaranteed rate of return as an eligible investment option for the lot of conservative principal protection fund, as the funding agreement would have a longer maturity horizon and an objective of guaranteeing a rate of return for that longer period (i.e. 5-years with laddered maturities and periodic composite crediting rate resets).</w:t>
            </w:r>
          </w:p>
        </w:tc>
        <w:tc>
          <w:tcPr>
            <w:tcW w:w="5760" w:type="dxa"/>
            <w:shd w:val="clear" w:color="auto" w:fill="auto"/>
          </w:tcPr>
          <w:p w14:paraId="3B69AB70" w14:textId="53F95CF8" w:rsidR="00D60B76" w:rsidRPr="00D60B76" w:rsidRDefault="00D60B76" w:rsidP="007B6532">
            <w:pPr>
              <w:spacing w:before="40" w:after="40"/>
              <w:jc w:val="both"/>
              <w:rPr>
                <w:b/>
                <w:bCs/>
              </w:rPr>
            </w:pPr>
            <w:r w:rsidRPr="00D60B76">
              <w:rPr>
                <w:b/>
                <w:bCs/>
              </w:rPr>
              <w:t xml:space="preserve">No, the expectation is to consider traditional mutual fund investment options. </w:t>
            </w:r>
          </w:p>
          <w:p w14:paraId="404E4817" w14:textId="20706E49" w:rsidR="00D60B76" w:rsidRPr="00D60B76" w:rsidRDefault="00D60B76" w:rsidP="007B6532">
            <w:pPr>
              <w:spacing w:before="40" w:after="40"/>
              <w:jc w:val="both"/>
              <w:rPr>
                <w:b/>
                <w:bCs/>
              </w:rPr>
            </w:pPr>
          </w:p>
        </w:tc>
      </w:tr>
      <w:tr w:rsidR="00D60B76" w:rsidRPr="004936F0" w14:paraId="4C3CF4BC" w14:textId="707DD667" w:rsidTr="00D60B76">
        <w:tc>
          <w:tcPr>
            <w:tcW w:w="462" w:type="dxa"/>
            <w:shd w:val="clear" w:color="auto" w:fill="D9D9D9" w:themeFill="background1" w:themeFillShade="D9"/>
          </w:tcPr>
          <w:p w14:paraId="59F80A14" w14:textId="220098E8" w:rsidR="00D60B76" w:rsidRPr="004936F0" w:rsidRDefault="00D60B76" w:rsidP="001C163E">
            <w:pPr>
              <w:spacing w:before="40" w:after="40"/>
              <w:rPr>
                <w:b/>
                <w:bCs/>
              </w:rPr>
            </w:pPr>
            <w:r w:rsidRPr="004936F0">
              <w:rPr>
                <w:b/>
                <w:bCs/>
                <w:color w:val="000000"/>
              </w:rPr>
              <w:t>55</w:t>
            </w:r>
          </w:p>
        </w:tc>
        <w:tc>
          <w:tcPr>
            <w:tcW w:w="1696" w:type="dxa"/>
          </w:tcPr>
          <w:p w14:paraId="1BA78CF1" w14:textId="14878846" w:rsidR="00D60B76" w:rsidRPr="00D60B76" w:rsidRDefault="00D60B76" w:rsidP="001C163E">
            <w:pPr>
              <w:spacing w:before="40" w:after="40"/>
            </w:pPr>
            <w:r w:rsidRPr="00D60B76">
              <w:t>Exhibit A - Section 1307 – Investment Options</w:t>
            </w:r>
          </w:p>
        </w:tc>
        <w:tc>
          <w:tcPr>
            <w:tcW w:w="717" w:type="dxa"/>
          </w:tcPr>
          <w:p w14:paraId="05D6ADB4" w14:textId="2E83AC8A" w:rsidR="00D60B76" w:rsidRPr="00D60B76" w:rsidRDefault="00D60B76" w:rsidP="001C163E">
            <w:pPr>
              <w:spacing w:before="40" w:after="40"/>
            </w:pPr>
            <w:r w:rsidRPr="00D60B76">
              <w:t>8</w:t>
            </w:r>
          </w:p>
        </w:tc>
        <w:tc>
          <w:tcPr>
            <w:tcW w:w="5670" w:type="dxa"/>
          </w:tcPr>
          <w:p w14:paraId="04D34B64" w14:textId="7C334261" w:rsidR="00D60B76" w:rsidRPr="00D60B76" w:rsidRDefault="00D60B76" w:rsidP="007B6532">
            <w:pPr>
              <w:spacing w:before="40" w:after="40"/>
              <w:jc w:val="both"/>
            </w:pPr>
            <w:r w:rsidRPr="00D60B76">
              <w:t>If the state is willing to consider a funding agreement with a guarantee of principal and rate of interest within the Conservative Principal Protection Fund “Lot”, do they have stipulations around guaranteed minimum interest rates in such a product, standard non-forfeiture law, and any sort of surrender charge that might apply at the surrender/termination of a participant out of the guaranteed product (i.e. two-way versus one way market based surrender charges). </w:t>
            </w:r>
          </w:p>
        </w:tc>
        <w:tc>
          <w:tcPr>
            <w:tcW w:w="5760" w:type="dxa"/>
            <w:shd w:val="clear" w:color="auto" w:fill="auto"/>
          </w:tcPr>
          <w:p w14:paraId="194A9F16" w14:textId="77777777" w:rsidR="00D60B76" w:rsidRPr="00D60B76" w:rsidRDefault="00D60B76" w:rsidP="007B6532">
            <w:pPr>
              <w:spacing w:before="40" w:after="40"/>
              <w:jc w:val="both"/>
              <w:rPr>
                <w:b/>
                <w:bCs/>
              </w:rPr>
            </w:pPr>
            <w:r w:rsidRPr="00D60B76">
              <w:rPr>
                <w:b/>
                <w:bCs/>
              </w:rPr>
              <w:t>See Answer to Question #54.</w:t>
            </w:r>
          </w:p>
          <w:p w14:paraId="38FFE690" w14:textId="024F5967" w:rsidR="00D60B76" w:rsidRPr="00D60B76" w:rsidRDefault="00D60B76" w:rsidP="007B6532">
            <w:pPr>
              <w:spacing w:before="40" w:after="40"/>
              <w:jc w:val="both"/>
              <w:rPr>
                <w:b/>
                <w:bCs/>
              </w:rPr>
            </w:pPr>
          </w:p>
        </w:tc>
      </w:tr>
      <w:tr w:rsidR="00D60B76" w:rsidRPr="004936F0" w14:paraId="3F4CE7F8" w14:textId="0F792D33" w:rsidTr="00D60B76">
        <w:tc>
          <w:tcPr>
            <w:tcW w:w="462" w:type="dxa"/>
            <w:shd w:val="clear" w:color="auto" w:fill="D9D9D9" w:themeFill="background1" w:themeFillShade="D9"/>
          </w:tcPr>
          <w:p w14:paraId="3AEF5C95" w14:textId="04BC9100" w:rsidR="00D60B76" w:rsidRPr="004936F0" w:rsidRDefault="00D60B76" w:rsidP="001C163E">
            <w:pPr>
              <w:spacing w:before="40" w:after="40"/>
              <w:rPr>
                <w:b/>
                <w:bCs/>
              </w:rPr>
            </w:pPr>
            <w:r>
              <w:rPr>
                <w:b/>
                <w:bCs/>
              </w:rPr>
              <w:lastRenderedPageBreak/>
              <w:t>56</w:t>
            </w:r>
          </w:p>
        </w:tc>
        <w:tc>
          <w:tcPr>
            <w:tcW w:w="1696" w:type="dxa"/>
          </w:tcPr>
          <w:p w14:paraId="0BBFA416" w14:textId="0181C56E" w:rsidR="00D60B76" w:rsidRPr="00D60B76" w:rsidRDefault="00D60B76" w:rsidP="001C163E">
            <w:pPr>
              <w:spacing w:before="40" w:after="40"/>
            </w:pPr>
            <w:r w:rsidRPr="00D60B76">
              <w:t>Exhibit B</w:t>
            </w:r>
          </w:p>
        </w:tc>
        <w:tc>
          <w:tcPr>
            <w:tcW w:w="717" w:type="dxa"/>
          </w:tcPr>
          <w:p w14:paraId="52069F4E" w14:textId="6A7FC24F" w:rsidR="00D60B76" w:rsidRPr="00D60B76" w:rsidRDefault="00D60B76" w:rsidP="001C163E">
            <w:pPr>
              <w:spacing w:before="40" w:after="40"/>
            </w:pPr>
            <w:r w:rsidRPr="00D60B76">
              <w:t>15</w:t>
            </w:r>
          </w:p>
        </w:tc>
        <w:tc>
          <w:tcPr>
            <w:tcW w:w="5670" w:type="dxa"/>
          </w:tcPr>
          <w:p w14:paraId="4DA5B78B" w14:textId="77777777" w:rsidR="00D60B76" w:rsidRPr="00D60B76" w:rsidRDefault="00D60B76" w:rsidP="007B6532">
            <w:pPr>
              <w:pStyle w:val="TableParagraph"/>
              <w:spacing w:before="40" w:after="200"/>
              <w:jc w:val="both"/>
            </w:pPr>
            <w:r w:rsidRPr="00D60B76">
              <w:t>In the Exhibit document, Exhibit B, page 15, there is a description of the Investment Manager responsibilities in the Draft IPS. It states that the Provider will provide recommendations on investment options, guidelines, and this IPS.</w:t>
            </w:r>
          </w:p>
          <w:p w14:paraId="697F1F11" w14:textId="0F1D5130" w:rsidR="00D60B76" w:rsidRPr="00D60B76" w:rsidRDefault="00D60B76" w:rsidP="007B6532">
            <w:pPr>
              <w:pStyle w:val="TableParagraph"/>
              <w:spacing w:before="40" w:after="200"/>
              <w:jc w:val="both"/>
            </w:pPr>
            <w:r w:rsidRPr="00D60B76">
              <w:t>If mutual funds are being proposed, would the State expect the Investment Manager to be a fiduciary to the State or the Secure Choice Program? Is the Investment Manager expected to comment on the guidelines and the IPS or to make recommendations of investment products (i.e., mutual funds) that are consistent with the IPS, as approved by the Board? In addition, if [Potential Bidder] is providing recommendations on the investment options, does the State and/or the Board make the final decisions as fiduciary about which products are ultimately offered as investment options in the Program?</w:t>
            </w:r>
          </w:p>
          <w:p w14:paraId="4CD7CBA2" w14:textId="77777777" w:rsidR="00D60B76" w:rsidRPr="00D60B76" w:rsidRDefault="00D60B76" w:rsidP="007B6532">
            <w:pPr>
              <w:pStyle w:val="TableParagraph"/>
              <w:spacing w:before="40" w:after="200"/>
              <w:jc w:val="both"/>
            </w:pPr>
            <w:r w:rsidRPr="00D60B76">
              <w:t>Exhibit B also states that the Investment Manager should manage the portion of the Program’s assets under their control in accordance with the IPS and any applicable management agreement or prospectus.</w:t>
            </w:r>
          </w:p>
          <w:p w14:paraId="05DB48D2" w14:textId="0DABD461" w:rsidR="00D60B76" w:rsidRPr="00D60B76" w:rsidRDefault="00D60B76" w:rsidP="007B6532">
            <w:pPr>
              <w:spacing w:before="40" w:after="40"/>
              <w:jc w:val="both"/>
            </w:pPr>
            <w:r w:rsidRPr="00D60B76">
              <w:t>If mutual funds are being proposed, is the expectation and understanding that a mutual fund shall be governed by its registration statement and subject to the Investment Company Act of 1940?</w:t>
            </w:r>
          </w:p>
        </w:tc>
        <w:tc>
          <w:tcPr>
            <w:tcW w:w="5760" w:type="dxa"/>
            <w:shd w:val="clear" w:color="auto" w:fill="auto"/>
          </w:tcPr>
          <w:p w14:paraId="23139A1A" w14:textId="5DE0CF8F" w:rsidR="00D60B76" w:rsidRPr="00D60B76" w:rsidRDefault="00D60B76" w:rsidP="007B6532">
            <w:pPr>
              <w:spacing w:before="40" w:after="40"/>
              <w:jc w:val="both"/>
              <w:rPr>
                <w:b/>
              </w:rPr>
            </w:pPr>
            <w:r w:rsidRPr="00D60B76">
              <w:rPr>
                <w:b/>
              </w:rPr>
              <w:t>The Program expects to work with the Investment Manager(s) in receiving input on guidelines as well as proposed investment products which would be in line with the IPS. Ultimately the final decision on which products are offered in the Program will be decided by the Board.  The terms and conditions of the agreement will be set during contract negotiations.</w:t>
            </w:r>
          </w:p>
          <w:p w14:paraId="209E7098" w14:textId="77777777" w:rsidR="00D60B76" w:rsidRPr="00D60B76" w:rsidRDefault="00D60B76" w:rsidP="007B6532">
            <w:pPr>
              <w:spacing w:before="40" w:after="40"/>
              <w:jc w:val="both"/>
              <w:rPr>
                <w:b/>
              </w:rPr>
            </w:pPr>
          </w:p>
          <w:p w14:paraId="2F247863" w14:textId="77777777" w:rsidR="00D60B76" w:rsidRPr="00D60B76" w:rsidRDefault="00D60B76" w:rsidP="007B6532">
            <w:pPr>
              <w:spacing w:before="40" w:after="40"/>
              <w:jc w:val="both"/>
              <w:rPr>
                <w:b/>
                <w:bCs/>
              </w:rPr>
            </w:pPr>
          </w:p>
          <w:p w14:paraId="063DF4BB" w14:textId="77777777" w:rsidR="00D60B76" w:rsidRPr="00D60B76" w:rsidRDefault="00D60B76" w:rsidP="007B6532">
            <w:pPr>
              <w:spacing w:before="40" w:after="40"/>
              <w:jc w:val="both"/>
              <w:rPr>
                <w:b/>
                <w:bCs/>
              </w:rPr>
            </w:pPr>
          </w:p>
          <w:p w14:paraId="33C77B16" w14:textId="77777777" w:rsidR="00D60B76" w:rsidRPr="00D60B76" w:rsidRDefault="00D60B76" w:rsidP="007B6532">
            <w:pPr>
              <w:spacing w:before="40" w:after="40"/>
              <w:jc w:val="both"/>
              <w:rPr>
                <w:b/>
                <w:bCs/>
              </w:rPr>
            </w:pPr>
          </w:p>
          <w:p w14:paraId="45348057" w14:textId="77777777" w:rsidR="00D60B76" w:rsidRPr="00D60B76" w:rsidRDefault="00D60B76" w:rsidP="007B6532">
            <w:pPr>
              <w:spacing w:before="40" w:after="40"/>
              <w:jc w:val="both"/>
              <w:rPr>
                <w:b/>
                <w:bCs/>
              </w:rPr>
            </w:pPr>
          </w:p>
          <w:p w14:paraId="26E6CE49" w14:textId="77777777" w:rsidR="00D60B76" w:rsidRPr="00D60B76" w:rsidRDefault="00D60B76" w:rsidP="007B6532">
            <w:pPr>
              <w:spacing w:before="40" w:after="40"/>
              <w:jc w:val="both"/>
              <w:rPr>
                <w:b/>
                <w:bCs/>
              </w:rPr>
            </w:pPr>
          </w:p>
          <w:p w14:paraId="1067D750" w14:textId="77777777" w:rsidR="00D60B76" w:rsidRPr="00D60B76" w:rsidRDefault="00D60B76" w:rsidP="007B6532">
            <w:pPr>
              <w:spacing w:before="40" w:after="40"/>
              <w:jc w:val="both"/>
              <w:rPr>
                <w:b/>
                <w:bCs/>
              </w:rPr>
            </w:pPr>
          </w:p>
          <w:p w14:paraId="78BC94F5" w14:textId="77777777" w:rsidR="00D60B76" w:rsidRPr="00D60B76" w:rsidRDefault="00D60B76" w:rsidP="007B6532">
            <w:pPr>
              <w:spacing w:before="40" w:after="40"/>
              <w:jc w:val="both"/>
              <w:rPr>
                <w:b/>
                <w:bCs/>
              </w:rPr>
            </w:pPr>
          </w:p>
          <w:p w14:paraId="567AE8C5" w14:textId="77777777" w:rsidR="00D60B76" w:rsidRPr="00D60B76" w:rsidRDefault="00D60B76" w:rsidP="007B6532">
            <w:pPr>
              <w:spacing w:before="40" w:after="40"/>
              <w:jc w:val="both"/>
              <w:rPr>
                <w:b/>
                <w:bCs/>
              </w:rPr>
            </w:pPr>
          </w:p>
          <w:p w14:paraId="64C6A94C" w14:textId="77777777" w:rsidR="00D60B76" w:rsidRPr="00D60B76" w:rsidRDefault="00D60B76" w:rsidP="007B6532">
            <w:pPr>
              <w:spacing w:before="40" w:after="40"/>
              <w:jc w:val="both"/>
              <w:rPr>
                <w:b/>
                <w:bCs/>
              </w:rPr>
            </w:pPr>
          </w:p>
          <w:p w14:paraId="11F817E5" w14:textId="77777777" w:rsidR="00D60B76" w:rsidRPr="00D60B76" w:rsidRDefault="00D60B76" w:rsidP="007B6532">
            <w:pPr>
              <w:spacing w:before="40" w:after="40"/>
              <w:jc w:val="both"/>
              <w:rPr>
                <w:b/>
                <w:bCs/>
              </w:rPr>
            </w:pPr>
          </w:p>
          <w:p w14:paraId="03678BDF" w14:textId="77777777" w:rsidR="00D60B76" w:rsidRPr="00D60B76" w:rsidRDefault="00D60B76" w:rsidP="007B6532">
            <w:pPr>
              <w:spacing w:before="40" w:after="40"/>
              <w:jc w:val="both"/>
              <w:rPr>
                <w:b/>
                <w:bCs/>
              </w:rPr>
            </w:pPr>
          </w:p>
          <w:p w14:paraId="6DEC0BDA" w14:textId="77777777" w:rsidR="00D60B76" w:rsidRPr="00D60B76" w:rsidRDefault="00D60B76" w:rsidP="007B6532">
            <w:pPr>
              <w:spacing w:before="40" w:after="40"/>
              <w:jc w:val="both"/>
              <w:rPr>
                <w:b/>
                <w:bCs/>
              </w:rPr>
            </w:pPr>
          </w:p>
          <w:p w14:paraId="35C7AB50" w14:textId="03192E62" w:rsidR="00D60B76" w:rsidRPr="00D60B76" w:rsidRDefault="00D60B76" w:rsidP="00F9598F">
            <w:pPr>
              <w:spacing w:before="120" w:after="40"/>
              <w:jc w:val="both"/>
              <w:rPr>
                <w:b/>
                <w:bCs/>
              </w:rPr>
            </w:pPr>
            <w:r w:rsidRPr="00D60B76">
              <w:rPr>
                <w:b/>
                <w:bCs/>
              </w:rPr>
              <w:t>Yes.</w:t>
            </w:r>
          </w:p>
          <w:p w14:paraId="771DBCDC" w14:textId="77777777" w:rsidR="00D60B76" w:rsidRPr="00D60B76" w:rsidRDefault="00D60B76" w:rsidP="007B6532">
            <w:pPr>
              <w:spacing w:before="40" w:after="40"/>
              <w:jc w:val="both"/>
              <w:rPr>
                <w:b/>
                <w:bCs/>
              </w:rPr>
            </w:pPr>
          </w:p>
          <w:p w14:paraId="48855CFB" w14:textId="3B3E8A88" w:rsidR="00D60B76" w:rsidRPr="00D60B76" w:rsidRDefault="00D60B76" w:rsidP="007B6532">
            <w:pPr>
              <w:spacing w:before="40" w:after="40"/>
              <w:jc w:val="both"/>
              <w:rPr>
                <w:b/>
                <w:bCs/>
              </w:rPr>
            </w:pPr>
          </w:p>
        </w:tc>
      </w:tr>
      <w:tr w:rsidR="00D60B76" w:rsidRPr="004936F0" w14:paraId="3B7D566C" w14:textId="28AFC493" w:rsidTr="00D60B76">
        <w:tc>
          <w:tcPr>
            <w:tcW w:w="462" w:type="dxa"/>
            <w:shd w:val="clear" w:color="auto" w:fill="D9D9D9" w:themeFill="background1" w:themeFillShade="D9"/>
          </w:tcPr>
          <w:p w14:paraId="5985A2A4" w14:textId="6E550668" w:rsidR="00D60B76" w:rsidRPr="004936F0" w:rsidRDefault="00D60B76" w:rsidP="001C163E">
            <w:pPr>
              <w:spacing w:before="40" w:after="40"/>
              <w:rPr>
                <w:b/>
                <w:bCs/>
              </w:rPr>
            </w:pPr>
            <w:r w:rsidRPr="004936F0">
              <w:rPr>
                <w:b/>
                <w:bCs/>
              </w:rPr>
              <w:t>5</w:t>
            </w:r>
            <w:r>
              <w:rPr>
                <w:b/>
                <w:bCs/>
              </w:rPr>
              <w:t>7</w:t>
            </w:r>
          </w:p>
        </w:tc>
        <w:tc>
          <w:tcPr>
            <w:tcW w:w="1696" w:type="dxa"/>
          </w:tcPr>
          <w:p w14:paraId="76BD5F51" w14:textId="0A9FBDD3" w:rsidR="00D60B76" w:rsidRPr="00D60B76" w:rsidRDefault="00D60B76" w:rsidP="001C163E">
            <w:pPr>
              <w:spacing w:before="40" w:after="40"/>
              <w:rPr>
                <w:color w:val="333333"/>
              </w:rPr>
            </w:pPr>
            <w:r w:rsidRPr="00D60B76">
              <w:t>Exhibit B</w:t>
            </w:r>
          </w:p>
        </w:tc>
        <w:tc>
          <w:tcPr>
            <w:tcW w:w="717" w:type="dxa"/>
          </w:tcPr>
          <w:p w14:paraId="59FE9C49" w14:textId="14A6B233" w:rsidR="00D60B76" w:rsidRPr="00D60B76" w:rsidRDefault="00D60B76" w:rsidP="001C163E">
            <w:pPr>
              <w:spacing w:before="40" w:after="40"/>
              <w:rPr>
                <w:color w:val="333333"/>
              </w:rPr>
            </w:pPr>
            <w:r w:rsidRPr="00D60B76">
              <w:t>17</w:t>
            </w:r>
          </w:p>
        </w:tc>
        <w:tc>
          <w:tcPr>
            <w:tcW w:w="5670" w:type="dxa"/>
          </w:tcPr>
          <w:p w14:paraId="04F7093F" w14:textId="09D6D012" w:rsidR="00D60B76" w:rsidRPr="00D60B76" w:rsidRDefault="00D60B76" w:rsidP="007B6532">
            <w:pPr>
              <w:spacing w:before="40" w:after="40"/>
              <w:jc w:val="both"/>
              <w:rPr>
                <w:color w:val="333333"/>
              </w:rPr>
            </w:pPr>
            <w:r w:rsidRPr="00D60B76">
              <w:t xml:space="preserve">In the Draft IPS, Exhibit B, there is a stated requirement for the Growth and Growth &amp; Income Funds to be passively implemented. However, there is not a stated requirement for the Target Date option to be passively implemented. Is there a preference for that option to be passively implement (i.e. the glidepath populated with index building blocks)? Are there preferences around fees and/or a maximum fee (which is inclusive of all fees, including, but not limited, administrative and total annual </w:t>
            </w:r>
            <w:r w:rsidRPr="00D60B76">
              <w:lastRenderedPageBreak/>
              <w:t>fund operating expenses associated with the investment options)?</w:t>
            </w:r>
          </w:p>
        </w:tc>
        <w:tc>
          <w:tcPr>
            <w:tcW w:w="5760" w:type="dxa"/>
            <w:shd w:val="clear" w:color="auto" w:fill="auto"/>
          </w:tcPr>
          <w:p w14:paraId="736C3BCC" w14:textId="2F76097F" w:rsidR="00D60B76" w:rsidRPr="00D60B76" w:rsidRDefault="00D60B76" w:rsidP="007B6532">
            <w:pPr>
              <w:spacing w:before="40" w:after="40"/>
              <w:jc w:val="both"/>
              <w:rPr>
                <w:b/>
              </w:rPr>
            </w:pPr>
            <w:r w:rsidRPr="00D60B76">
              <w:rPr>
                <w:b/>
              </w:rPr>
              <w:lastRenderedPageBreak/>
              <w:t xml:space="preserve">Bidder should propose a target date option(s) it believes best complies with the Act. </w:t>
            </w:r>
          </w:p>
          <w:p w14:paraId="66AFE114" w14:textId="152983A3" w:rsidR="00D60B76" w:rsidRDefault="00D60B76" w:rsidP="007B6532">
            <w:pPr>
              <w:spacing w:before="40" w:after="40"/>
              <w:jc w:val="both"/>
              <w:rPr>
                <w:b/>
                <w:bCs/>
              </w:rPr>
            </w:pPr>
          </w:p>
          <w:p w14:paraId="74ABCF4A" w14:textId="7E3C4A3B" w:rsidR="00BE08E0" w:rsidRDefault="00BE08E0" w:rsidP="007B6532">
            <w:pPr>
              <w:spacing w:before="40" w:after="40"/>
              <w:jc w:val="both"/>
              <w:rPr>
                <w:b/>
                <w:bCs/>
              </w:rPr>
            </w:pPr>
          </w:p>
          <w:p w14:paraId="69F8BF7A" w14:textId="06D6A9E1" w:rsidR="00BE08E0" w:rsidRDefault="00BE08E0" w:rsidP="007B6532">
            <w:pPr>
              <w:spacing w:before="40" w:after="40"/>
              <w:jc w:val="both"/>
              <w:rPr>
                <w:b/>
                <w:bCs/>
              </w:rPr>
            </w:pPr>
          </w:p>
          <w:p w14:paraId="3B85C244" w14:textId="74C29475" w:rsidR="00D60B76" w:rsidRPr="00D60B76" w:rsidRDefault="00D60B76" w:rsidP="005022E9">
            <w:pPr>
              <w:spacing w:before="120"/>
              <w:jc w:val="both"/>
              <w:rPr>
                <w:b/>
                <w:bCs/>
              </w:rPr>
            </w:pPr>
            <w:r w:rsidRPr="00D60B76">
              <w:rPr>
                <w:b/>
                <w:bCs/>
              </w:rPr>
              <w:t>There is no maximum fee cap within the Act.  Bidder</w:t>
            </w:r>
            <w:r w:rsidR="00BE08E0">
              <w:rPr>
                <w:b/>
                <w:bCs/>
              </w:rPr>
              <w:t>-</w:t>
            </w:r>
            <w:r w:rsidRPr="00D60B76">
              <w:rPr>
                <w:b/>
                <w:bCs/>
              </w:rPr>
              <w:t xml:space="preserve">proposed fees will be evaluated on the </w:t>
            </w:r>
            <w:r w:rsidR="00BE08E0">
              <w:rPr>
                <w:b/>
                <w:bCs/>
              </w:rPr>
              <w:t>f</w:t>
            </w:r>
            <w:r w:rsidRPr="00D60B76">
              <w:rPr>
                <w:b/>
                <w:bCs/>
              </w:rPr>
              <w:t xml:space="preserve">inancial </w:t>
            </w:r>
            <w:r w:rsidR="00BE08E0">
              <w:rPr>
                <w:b/>
                <w:bCs/>
              </w:rPr>
              <w:t>e</w:t>
            </w:r>
            <w:r w:rsidRPr="00D60B76">
              <w:rPr>
                <w:b/>
                <w:bCs/>
              </w:rPr>
              <w:t xml:space="preserve">valuation.  </w:t>
            </w:r>
          </w:p>
          <w:p w14:paraId="142A72A8" w14:textId="2125DE9C" w:rsidR="00D60B76" w:rsidRPr="00D60B76" w:rsidRDefault="00D60B76" w:rsidP="007B6532">
            <w:pPr>
              <w:spacing w:before="40" w:after="40"/>
              <w:jc w:val="both"/>
              <w:rPr>
                <w:b/>
                <w:bCs/>
              </w:rPr>
            </w:pPr>
          </w:p>
        </w:tc>
      </w:tr>
      <w:tr w:rsidR="00D60B76" w:rsidRPr="004936F0" w14:paraId="7381827E" w14:textId="16021B84" w:rsidTr="00D60B76">
        <w:tc>
          <w:tcPr>
            <w:tcW w:w="462" w:type="dxa"/>
            <w:shd w:val="clear" w:color="auto" w:fill="D9D9D9" w:themeFill="background1" w:themeFillShade="D9"/>
          </w:tcPr>
          <w:p w14:paraId="52693A56" w14:textId="080B99AD" w:rsidR="00D60B76" w:rsidRPr="004936F0" w:rsidRDefault="00D60B76" w:rsidP="001C163E">
            <w:pPr>
              <w:spacing w:before="40" w:after="40"/>
              <w:rPr>
                <w:b/>
                <w:bCs/>
              </w:rPr>
            </w:pPr>
            <w:r w:rsidRPr="004936F0">
              <w:rPr>
                <w:b/>
                <w:bCs/>
                <w:color w:val="000000"/>
              </w:rPr>
              <w:lastRenderedPageBreak/>
              <w:t>58</w:t>
            </w:r>
          </w:p>
        </w:tc>
        <w:tc>
          <w:tcPr>
            <w:tcW w:w="1696" w:type="dxa"/>
          </w:tcPr>
          <w:p w14:paraId="38EBF5AC" w14:textId="77777777" w:rsidR="00D60B76" w:rsidRPr="00D60B76" w:rsidRDefault="00D60B76" w:rsidP="001C163E">
            <w:pPr>
              <w:pStyle w:val="TableParagraph"/>
              <w:spacing w:before="40" w:after="40"/>
            </w:pPr>
            <w:r w:rsidRPr="00D60B76">
              <w:t>Exhibit B</w:t>
            </w:r>
          </w:p>
          <w:p w14:paraId="4F3C8A9F" w14:textId="77777777" w:rsidR="00D60B76" w:rsidRPr="00D60B76" w:rsidRDefault="00D60B76" w:rsidP="001C163E">
            <w:pPr>
              <w:pStyle w:val="TableParagraph"/>
              <w:spacing w:before="40" w:after="40"/>
            </w:pPr>
          </w:p>
          <w:p w14:paraId="29EFCB90" w14:textId="609EC602" w:rsidR="00D60B76" w:rsidRPr="00D60B76" w:rsidRDefault="00D60B76" w:rsidP="001C163E">
            <w:pPr>
              <w:spacing w:before="40" w:after="40"/>
              <w:rPr>
                <w:color w:val="333333"/>
              </w:rPr>
            </w:pPr>
            <w:r w:rsidRPr="00D60B76">
              <w:t>Request for Proposal, Section 4.3.5</w:t>
            </w:r>
          </w:p>
        </w:tc>
        <w:tc>
          <w:tcPr>
            <w:tcW w:w="717" w:type="dxa"/>
          </w:tcPr>
          <w:p w14:paraId="347B4CC9" w14:textId="10368AB9" w:rsidR="00D60B76" w:rsidRPr="00D60B76" w:rsidRDefault="00D60B76" w:rsidP="001C163E">
            <w:pPr>
              <w:pStyle w:val="TableParagraph"/>
              <w:spacing w:before="40" w:after="40"/>
            </w:pPr>
            <w:r w:rsidRPr="00D60B76">
              <w:t>17</w:t>
            </w:r>
          </w:p>
          <w:p w14:paraId="793D7FA7" w14:textId="77777777" w:rsidR="00D60B76" w:rsidRPr="00D60B76" w:rsidRDefault="00D60B76" w:rsidP="001C163E">
            <w:pPr>
              <w:pStyle w:val="TableParagraph"/>
              <w:spacing w:before="40" w:after="40"/>
            </w:pPr>
          </w:p>
          <w:p w14:paraId="6F611060" w14:textId="17749B6C" w:rsidR="00D60B76" w:rsidRPr="00D60B76" w:rsidRDefault="00D60B76" w:rsidP="001C163E">
            <w:pPr>
              <w:spacing w:before="40" w:after="40"/>
              <w:rPr>
                <w:color w:val="333333"/>
              </w:rPr>
            </w:pPr>
            <w:r w:rsidRPr="00D60B76">
              <w:t>42</w:t>
            </w:r>
          </w:p>
        </w:tc>
        <w:tc>
          <w:tcPr>
            <w:tcW w:w="5670" w:type="dxa"/>
          </w:tcPr>
          <w:p w14:paraId="222A5E0E" w14:textId="77777777" w:rsidR="00D60B76" w:rsidRPr="00D60B76" w:rsidRDefault="00D60B76" w:rsidP="007B6532">
            <w:pPr>
              <w:pStyle w:val="TableParagraph"/>
              <w:spacing w:before="40" w:after="200"/>
              <w:ind w:right="178"/>
              <w:jc w:val="both"/>
            </w:pPr>
            <w:r w:rsidRPr="00D60B76">
              <w:t xml:space="preserve">The Draft IPS Statement, Exhibit B, indicates that the Growth Option and the Growth &amp; Income Option are to be Passively Managed. However, page 42 of the Body of the RFP, 4.3.5, has a section delineated as Active Strategies for Lot 2: Growth Option and Lot 3: Growth &amp; Income Option. Are you considering Actively managed strategies for these categories? </w:t>
            </w:r>
          </w:p>
          <w:p w14:paraId="587E6E19" w14:textId="4E6701FF" w:rsidR="00D60B76" w:rsidRPr="00D60B76" w:rsidRDefault="00D60B76" w:rsidP="007B6532">
            <w:pPr>
              <w:pStyle w:val="TableParagraph"/>
              <w:spacing w:before="40" w:after="200"/>
              <w:ind w:right="178"/>
              <w:jc w:val="both"/>
            </w:pPr>
            <w:r w:rsidRPr="00D60B76">
              <w:t>Would you offer an actively managed and passively managed strategy in the plan at the launch?</w:t>
            </w:r>
          </w:p>
          <w:p w14:paraId="10F0F5A2" w14:textId="6F7B4B42" w:rsidR="00D60B76" w:rsidRPr="00D60B76" w:rsidRDefault="00D60B76" w:rsidP="007B6532">
            <w:pPr>
              <w:spacing w:before="40" w:after="40"/>
              <w:jc w:val="both"/>
              <w:rPr>
                <w:color w:val="333333"/>
              </w:rPr>
            </w:pPr>
            <w:r w:rsidRPr="00D60B76">
              <w:t>Are there preferences around fees and/or a maximum  fee (which is inclusive of all fees, including, but not limited to, administrative and total annual fund operating expenses associated with the investment options)?</w:t>
            </w:r>
          </w:p>
        </w:tc>
        <w:tc>
          <w:tcPr>
            <w:tcW w:w="5760" w:type="dxa"/>
            <w:shd w:val="clear" w:color="auto" w:fill="auto"/>
          </w:tcPr>
          <w:p w14:paraId="1F4B519F" w14:textId="619181BC" w:rsidR="00D60B76" w:rsidRPr="00D60B76" w:rsidRDefault="00D60B76" w:rsidP="007B6532">
            <w:pPr>
              <w:spacing w:before="40" w:after="40"/>
              <w:jc w:val="both"/>
              <w:rPr>
                <w:b/>
                <w:bCs/>
              </w:rPr>
            </w:pPr>
            <w:r w:rsidRPr="00D60B76">
              <w:rPr>
                <w:b/>
                <w:bCs/>
              </w:rPr>
              <w:t xml:space="preserve">See Answer to Question #49. </w:t>
            </w:r>
          </w:p>
          <w:p w14:paraId="3F045E2B" w14:textId="5B0C4256" w:rsidR="00D60B76" w:rsidRPr="00D60B76" w:rsidRDefault="00D60B76" w:rsidP="007B6532">
            <w:pPr>
              <w:spacing w:before="40" w:after="40"/>
              <w:jc w:val="both"/>
              <w:rPr>
                <w:b/>
                <w:bCs/>
              </w:rPr>
            </w:pPr>
          </w:p>
          <w:p w14:paraId="154769D5" w14:textId="77777777" w:rsidR="00D60B76" w:rsidRPr="00D60B76" w:rsidRDefault="00D60B76" w:rsidP="007B6532">
            <w:pPr>
              <w:spacing w:before="40" w:after="40"/>
              <w:jc w:val="both"/>
              <w:rPr>
                <w:b/>
                <w:bCs/>
              </w:rPr>
            </w:pPr>
          </w:p>
          <w:p w14:paraId="60648399" w14:textId="77777777" w:rsidR="00D60B76" w:rsidRPr="00D60B76" w:rsidRDefault="00D60B76" w:rsidP="007B6532">
            <w:pPr>
              <w:spacing w:before="40" w:after="40"/>
              <w:jc w:val="both"/>
              <w:rPr>
                <w:b/>
                <w:bCs/>
              </w:rPr>
            </w:pPr>
          </w:p>
          <w:p w14:paraId="6861DA3B" w14:textId="77777777" w:rsidR="00D60B76" w:rsidRPr="00D60B76" w:rsidRDefault="00D60B76" w:rsidP="007B6532">
            <w:pPr>
              <w:spacing w:before="40" w:after="40"/>
              <w:jc w:val="both"/>
              <w:rPr>
                <w:b/>
                <w:bCs/>
              </w:rPr>
            </w:pPr>
          </w:p>
          <w:p w14:paraId="05AB2796" w14:textId="77777777" w:rsidR="00D60B76" w:rsidRPr="00D60B76" w:rsidRDefault="00D60B76" w:rsidP="007B6532">
            <w:pPr>
              <w:spacing w:before="40" w:after="40"/>
              <w:jc w:val="both"/>
              <w:rPr>
                <w:b/>
                <w:bCs/>
              </w:rPr>
            </w:pPr>
          </w:p>
          <w:p w14:paraId="15BD4BD3" w14:textId="77777777" w:rsidR="00D60B76" w:rsidRPr="00D60B76" w:rsidRDefault="00D60B76" w:rsidP="007B6532">
            <w:pPr>
              <w:jc w:val="both"/>
              <w:rPr>
                <w:b/>
                <w:bCs/>
              </w:rPr>
            </w:pPr>
          </w:p>
          <w:p w14:paraId="4F59D600" w14:textId="41C1DA12" w:rsidR="00D60B76" w:rsidRPr="00D60B76" w:rsidRDefault="00D60B76" w:rsidP="007B6532">
            <w:pPr>
              <w:jc w:val="both"/>
              <w:rPr>
                <w:b/>
                <w:bCs/>
              </w:rPr>
            </w:pPr>
            <w:r w:rsidRPr="00D60B76">
              <w:rPr>
                <w:b/>
                <w:bCs/>
              </w:rPr>
              <w:t>No.</w:t>
            </w:r>
          </w:p>
          <w:p w14:paraId="1FC9022F" w14:textId="67C6370D" w:rsidR="00D60B76" w:rsidRDefault="00D60B76" w:rsidP="007B6532">
            <w:pPr>
              <w:spacing w:before="40" w:after="40"/>
              <w:jc w:val="both"/>
              <w:rPr>
                <w:b/>
                <w:bCs/>
              </w:rPr>
            </w:pPr>
          </w:p>
          <w:p w14:paraId="0C2D99AD" w14:textId="2323ED11" w:rsidR="00D60B76" w:rsidRPr="00D60B76" w:rsidRDefault="00D60B76" w:rsidP="007B6532">
            <w:pPr>
              <w:spacing w:before="120"/>
              <w:jc w:val="both"/>
              <w:rPr>
                <w:b/>
                <w:bCs/>
              </w:rPr>
            </w:pPr>
            <w:r w:rsidRPr="00D60B76">
              <w:rPr>
                <w:b/>
                <w:bCs/>
              </w:rPr>
              <w:t>There is no maximum fee cap within the Act.  Bidder</w:t>
            </w:r>
            <w:r w:rsidR="00BE08E0">
              <w:rPr>
                <w:b/>
                <w:bCs/>
              </w:rPr>
              <w:t>-</w:t>
            </w:r>
            <w:r w:rsidRPr="00D60B76">
              <w:rPr>
                <w:b/>
                <w:bCs/>
              </w:rPr>
              <w:t xml:space="preserve">proposed fees will be evaluated on the </w:t>
            </w:r>
            <w:r w:rsidR="00BE08E0">
              <w:rPr>
                <w:b/>
                <w:bCs/>
              </w:rPr>
              <w:t>f</w:t>
            </w:r>
            <w:r w:rsidRPr="00D60B76">
              <w:rPr>
                <w:b/>
                <w:bCs/>
              </w:rPr>
              <w:t xml:space="preserve">inancial </w:t>
            </w:r>
            <w:r w:rsidR="00BE08E0">
              <w:rPr>
                <w:b/>
                <w:bCs/>
              </w:rPr>
              <w:t>e</w:t>
            </w:r>
            <w:r w:rsidRPr="00D60B76">
              <w:rPr>
                <w:b/>
                <w:bCs/>
              </w:rPr>
              <w:t xml:space="preserve">valuation.  </w:t>
            </w:r>
          </w:p>
          <w:p w14:paraId="0059B2D1" w14:textId="77777777" w:rsidR="00D60B76" w:rsidRPr="00D60B76" w:rsidRDefault="00D60B76" w:rsidP="007B6532">
            <w:pPr>
              <w:spacing w:before="40" w:after="40"/>
              <w:jc w:val="both"/>
              <w:rPr>
                <w:b/>
                <w:bCs/>
              </w:rPr>
            </w:pPr>
          </w:p>
          <w:p w14:paraId="070C0752" w14:textId="09B5D223" w:rsidR="00D60B76" w:rsidRPr="00D60B76" w:rsidRDefault="00D60B76" w:rsidP="007B6532">
            <w:pPr>
              <w:spacing w:before="40" w:after="40"/>
              <w:jc w:val="both"/>
              <w:rPr>
                <w:b/>
                <w:bCs/>
              </w:rPr>
            </w:pPr>
          </w:p>
        </w:tc>
      </w:tr>
      <w:tr w:rsidR="00D60B76" w:rsidRPr="004936F0" w14:paraId="074C96D1" w14:textId="462C0851" w:rsidTr="00D60B76">
        <w:tc>
          <w:tcPr>
            <w:tcW w:w="462" w:type="dxa"/>
            <w:shd w:val="clear" w:color="auto" w:fill="D9D9D9" w:themeFill="background1" w:themeFillShade="D9"/>
          </w:tcPr>
          <w:p w14:paraId="4A781455" w14:textId="56519F5D" w:rsidR="00D60B76" w:rsidRPr="004936F0" w:rsidRDefault="00D60B76" w:rsidP="001C163E">
            <w:pPr>
              <w:spacing w:before="40" w:after="40"/>
              <w:rPr>
                <w:b/>
                <w:bCs/>
              </w:rPr>
            </w:pPr>
            <w:r w:rsidRPr="004936F0">
              <w:rPr>
                <w:b/>
                <w:bCs/>
                <w:color w:val="000000"/>
              </w:rPr>
              <w:t>59</w:t>
            </w:r>
          </w:p>
        </w:tc>
        <w:tc>
          <w:tcPr>
            <w:tcW w:w="1696" w:type="dxa"/>
          </w:tcPr>
          <w:p w14:paraId="7BB0E4C1" w14:textId="65A2B027" w:rsidR="00D60B76" w:rsidRPr="00D60B76" w:rsidRDefault="00D60B76" w:rsidP="001C163E">
            <w:pPr>
              <w:spacing w:before="40" w:after="40"/>
              <w:rPr>
                <w:color w:val="333333"/>
              </w:rPr>
            </w:pPr>
            <w:r w:rsidRPr="00D60B76">
              <w:t>Exhibit C, D, E &amp; F</w:t>
            </w:r>
          </w:p>
        </w:tc>
        <w:tc>
          <w:tcPr>
            <w:tcW w:w="717" w:type="dxa"/>
          </w:tcPr>
          <w:p w14:paraId="4C44C52F" w14:textId="2817192C" w:rsidR="00D60B76" w:rsidRPr="00D60B76" w:rsidRDefault="00D60B76" w:rsidP="001C163E">
            <w:pPr>
              <w:pStyle w:val="TableParagraph"/>
              <w:spacing w:before="40" w:after="40"/>
              <w:rPr>
                <w:color w:val="333333"/>
              </w:rPr>
            </w:pPr>
            <w:r w:rsidRPr="00D60B76">
              <w:t>22 – 31</w:t>
            </w:r>
          </w:p>
        </w:tc>
        <w:tc>
          <w:tcPr>
            <w:tcW w:w="5670" w:type="dxa"/>
          </w:tcPr>
          <w:p w14:paraId="133A603B" w14:textId="2DA7B8CE" w:rsidR="00D60B76" w:rsidRDefault="00D60B76" w:rsidP="007B6532">
            <w:pPr>
              <w:pStyle w:val="TableParagraph"/>
              <w:spacing w:before="40" w:after="200"/>
              <w:ind w:right="178"/>
              <w:jc w:val="both"/>
            </w:pPr>
            <w:r w:rsidRPr="00D60B76">
              <w:t>Do the Exhibit C (substitute Form W-9), Exhibit D (Minority and Women-Owned Business Enterprises – Equal Employment Opportunity Policy Statement), Exhibit E (Contractor Sales Tax Certification Forms) and Exhibit F (Workforce Utilization Report) need to be submitted with the RFP, or at a later date or upon award. If required with the RFP, which volume and tab should they be included in?</w:t>
            </w:r>
          </w:p>
          <w:p w14:paraId="1669927A" w14:textId="6B250B6A" w:rsidR="00BE08E0" w:rsidRDefault="00BE08E0" w:rsidP="007B6532">
            <w:pPr>
              <w:pStyle w:val="TableParagraph"/>
              <w:spacing w:before="40" w:after="200"/>
              <w:ind w:right="178"/>
              <w:jc w:val="both"/>
            </w:pPr>
          </w:p>
          <w:p w14:paraId="0733CB16" w14:textId="6902BBEB" w:rsidR="00BE08E0" w:rsidRDefault="00BE08E0" w:rsidP="007B6532">
            <w:pPr>
              <w:pStyle w:val="TableParagraph"/>
              <w:spacing w:before="40" w:after="200"/>
              <w:ind w:right="178"/>
              <w:jc w:val="both"/>
            </w:pPr>
          </w:p>
          <w:p w14:paraId="28F017AA" w14:textId="1DC8A0D0" w:rsidR="00BE08E0" w:rsidRDefault="00BE08E0" w:rsidP="007B6532">
            <w:pPr>
              <w:pStyle w:val="TableParagraph"/>
              <w:spacing w:before="40" w:after="200"/>
              <w:ind w:right="178"/>
              <w:jc w:val="both"/>
            </w:pPr>
          </w:p>
          <w:p w14:paraId="34CE0D0D" w14:textId="5FD77C1E" w:rsidR="00BE08E0" w:rsidRDefault="00BE08E0" w:rsidP="007B6532">
            <w:pPr>
              <w:pStyle w:val="TableParagraph"/>
              <w:spacing w:before="40" w:after="200"/>
              <w:ind w:right="178"/>
              <w:jc w:val="both"/>
            </w:pPr>
          </w:p>
          <w:p w14:paraId="68C18747" w14:textId="636F9CB6" w:rsidR="00BE08E0" w:rsidRDefault="00BE08E0" w:rsidP="007B6532">
            <w:pPr>
              <w:pStyle w:val="TableParagraph"/>
              <w:spacing w:before="40" w:after="200"/>
              <w:ind w:right="178"/>
              <w:jc w:val="both"/>
            </w:pPr>
          </w:p>
          <w:p w14:paraId="4BDBDDDD" w14:textId="4CDB48C4" w:rsidR="00BE08E0" w:rsidRDefault="00BE08E0" w:rsidP="007B6532">
            <w:pPr>
              <w:pStyle w:val="TableParagraph"/>
              <w:spacing w:before="40" w:after="200"/>
              <w:ind w:right="178"/>
              <w:jc w:val="both"/>
            </w:pPr>
          </w:p>
          <w:p w14:paraId="13836D1C" w14:textId="33FD7FD9" w:rsidR="00BE08E0" w:rsidRDefault="00BE08E0" w:rsidP="007B6532">
            <w:pPr>
              <w:pStyle w:val="TableParagraph"/>
              <w:spacing w:before="40" w:after="200"/>
              <w:ind w:right="178"/>
              <w:jc w:val="both"/>
            </w:pPr>
          </w:p>
          <w:p w14:paraId="78EEBEE3" w14:textId="77777777" w:rsidR="00D60B76" w:rsidRPr="00D60B76" w:rsidRDefault="00D60B76" w:rsidP="00F9598F">
            <w:pPr>
              <w:pStyle w:val="TableParagraph"/>
              <w:spacing w:before="360" w:after="120"/>
              <w:ind w:right="802"/>
              <w:jc w:val="both"/>
            </w:pPr>
            <w:r w:rsidRPr="00D60B76">
              <w:t>Could you confirm with respect to Exhibit E the following:</w:t>
            </w:r>
          </w:p>
          <w:p w14:paraId="6CE27B6C" w14:textId="77777777" w:rsidR="00D60B76" w:rsidRPr="00D60B76" w:rsidRDefault="00D60B76" w:rsidP="007B6532">
            <w:pPr>
              <w:pStyle w:val="TableParagraph"/>
              <w:numPr>
                <w:ilvl w:val="0"/>
                <w:numId w:val="1"/>
              </w:numPr>
              <w:tabs>
                <w:tab w:val="left" w:pos="829"/>
              </w:tabs>
              <w:spacing w:before="40" w:after="40"/>
              <w:jc w:val="both"/>
            </w:pPr>
            <w:r w:rsidRPr="00D60B76">
              <w:t>Covered agency name</w:t>
            </w:r>
          </w:p>
          <w:p w14:paraId="47A5C4A9" w14:textId="77777777" w:rsidR="00D60B76" w:rsidRPr="00D60B76" w:rsidRDefault="00D60B76" w:rsidP="007B6532">
            <w:pPr>
              <w:pStyle w:val="TableParagraph"/>
              <w:numPr>
                <w:ilvl w:val="0"/>
                <w:numId w:val="1"/>
              </w:numPr>
              <w:tabs>
                <w:tab w:val="left" w:pos="829"/>
              </w:tabs>
              <w:spacing w:before="40" w:after="40"/>
              <w:jc w:val="both"/>
            </w:pPr>
            <w:r w:rsidRPr="00D60B76">
              <w:t>Covered agency address</w:t>
            </w:r>
          </w:p>
          <w:p w14:paraId="3D766CEC" w14:textId="77777777" w:rsidR="00D60B76" w:rsidRPr="00D60B76" w:rsidRDefault="00D60B76" w:rsidP="007B6532">
            <w:pPr>
              <w:pStyle w:val="TableParagraph"/>
              <w:numPr>
                <w:ilvl w:val="0"/>
                <w:numId w:val="1"/>
              </w:numPr>
              <w:tabs>
                <w:tab w:val="left" w:pos="829"/>
              </w:tabs>
              <w:spacing w:before="40" w:after="40"/>
              <w:jc w:val="both"/>
            </w:pPr>
            <w:r w:rsidRPr="00D60B76">
              <w:t>Covered agency telephone number</w:t>
            </w:r>
          </w:p>
          <w:p w14:paraId="033D784C" w14:textId="77777777" w:rsidR="00D60B76" w:rsidRPr="00D60B76" w:rsidRDefault="00D60B76" w:rsidP="007B6532">
            <w:pPr>
              <w:pStyle w:val="TableParagraph"/>
              <w:numPr>
                <w:ilvl w:val="0"/>
                <w:numId w:val="1"/>
              </w:numPr>
              <w:tabs>
                <w:tab w:val="left" w:pos="829"/>
              </w:tabs>
              <w:spacing w:before="40" w:after="40"/>
              <w:jc w:val="both"/>
            </w:pPr>
            <w:r w:rsidRPr="00D60B76">
              <w:t>Contract number or description</w:t>
            </w:r>
          </w:p>
          <w:p w14:paraId="0B1B3C5E" w14:textId="683CB7ED" w:rsidR="00D60B76" w:rsidRPr="00D60B76" w:rsidRDefault="00D60B76" w:rsidP="007B6532">
            <w:pPr>
              <w:pStyle w:val="TableParagraph"/>
              <w:numPr>
                <w:ilvl w:val="0"/>
                <w:numId w:val="1"/>
              </w:numPr>
              <w:tabs>
                <w:tab w:val="left" w:pos="829"/>
              </w:tabs>
              <w:spacing w:before="40" w:after="40"/>
              <w:jc w:val="both"/>
              <w:rPr>
                <w:color w:val="333333"/>
              </w:rPr>
            </w:pPr>
            <w:r w:rsidRPr="00D60B76">
              <w:t>Value of contracts (as the plan is new)</w:t>
            </w:r>
          </w:p>
        </w:tc>
        <w:tc>
          <w:tcPr>
            <w:tcW w:w="5760" w:type="dxa"/>
            <w:shd w:val="clear" w:color="auto" w:fill="auto"/>
          </w:tcPr>
          <w:p w14:paraId="69413E08" w14:textId="77777777" w:rsidR="00D60B76" w:rsidRPr="00D60B76" w:rsidRDefault="00D60B76" w:rsidP="007B6532">
            <w:pPr>
              <w:spacing w:before="40" w:after="40"/>
              <w:jc w:val="both"/>
              <w:rPr>
                <w:b/>
                <w:bCs/>
              </w:rPr>
            </w:pPr>
            <w:r w:rsidRPr="00D60B76">
              <w:rPr>
                <w:b/>
                <w:bCs/>
              </w:rPr>
              <w:lastRenderedPageBreak/>
              <w:t xml:space="preserve">Exhibit C should be submitted with your Proposal. </w:t>
            </w:r>
          </w:p>
          <w:p w14:paraId="06F5AF26" w14:textId="77777777" w:rsidR="00D60B76" w:rsidRPr="00D60B76" w:rsidRDefault="00D60B76" w:rsidP="007B6532">
            <w:pPr>
              <w:spacing w:before="40" w:after="40"/>
              <w:jc w:val="both"/>
              <w:rPr>
                <w:b/>
                <w:bCs/>
              </w:rPr>
            </w:pPr>
          </w:p>
          <w:p w14:paraId="1A4CEA0C" w14:textId="77777777" w:rsidR="00D60B76" w:rsidRPr="00D60B76" w:rsidRDefault="00D60B76" w:rsidP="007B6532">
            <w:pPr>
              <w:spacing w:before="40" w:after="40"/>
              <w:jc w:val="both"/>
              <w:rPr>
                <w:b/>
                <w:bCs/>
              </w:rPr>
            </w:pPr>
            <w:r w:rsidRPr="00D60B76">
              <w:rPr>
                <w:b/>
                <w:bCs/>
              </w:rPr>
              <w:t xml:space="preserve">Exhibit D should be submitted with your Proposal if the Bidder does not include a statement of its own that addresses the Equal Employment Opportunity  Requirements outlined in Section 6.2.6. </w:t>
            </w:r>
          </w:p>
          <w:p w14:paraId="13BB8C67" w14:textId="77777777" w:rsidR="00D60B76" w:rsidRPr="00D60B76" w:rsidRDefault="00D60B76" w:rsidP="007B6532">
            <w:pPr>
              <w:spacing w:before="40" w:after="40"/>
              <w:jc w:val="both"/>
              <w:rPr>
                <w:b/>
                <w:bCs/>
              </w:rPr>
            </w:pPr>
          </w:p>
          <w:p w14:paraId="1D060E2E" w14:textId="77777777" w:rsidR="00D60B76" w:rsidRPr="00D60B76" w:rsidRDefault="00D60B76" w:rsidP="007B6532">
            <w:pPr>
              <w:spacing w:before="40" w:after="40"/>
              <w:jc w:val="both"/>
              <w:rPr>
                <w:b/>
                <w:bCs/>
              </w:rPr>
            </w:pPr>
            <w:r w:rsidRPr="00D60B76">
              <w:rPr>
                <w:b/>
                <w:bCs/>
              </w:rPr>
              <w:t>Exhibit E:</w:t>
            </w:r>
          </w:p>
          <w:p w14:paraId="0C5ACE7C" w14:textId="77777777" w:rsidR="00D60B76" w:rsidRPr="00D60B76" w:rsidRDefault="00D60B76" w:rsidP="007B6532">
            <w:pPr>
              <w:pStyle w:val="ListParagraph"/>
              <w:numPr>
                <w:ilvl w:val="0"/>
                <w:numId w:val="10"/>
              </w:numPr>
              <w:spacing w:before="40" w:after="40"/>
              <w:ind w:right="0"/>
              <w:jc w:val="both"/>
              <w:rPr>
                <w:b/>
                <w:bCs/>
              </w:rPr>
            </w:pPr>
            <w:r w:rsidRPr="00D60B76">
              <w:rPr>
                <w:b/>
                <w:bCs/>
              </w:rPr>
              <w:t xml:space="preserve">ST-220-CA does not need to be included with your Proposal. This form will only be requested from the tentative awardee. </w:t>
            </w:r>
          </w:p>
          <w:p w14:paraId="12B0215F" w14:textId="02741625" w:rsidR="00D60B76" w:rsidRPr="00D60B76" w:rsidRDefault="00D60B76" w:rsidP="007B6532">
            <w:pPr>
              <w:pStyle w:val="ListParagraph"/>
              <w:numPr>
                <w:ilvl w:val="0"/>
                <w:numId w:val="10"/>
              </w:numPr>
              <w:tabs>
                <w:tab w:val="left" w:pos="4246"/>
              </w:tabs>
              <w:spacing w:before="40" w:after="40"/>
              <w:ind w:right="76"/>
              <w:jc w:val="both"/>
              <w:rPr>
                <w:b/>
                <w:bCs/>
              </w:rPr>
            </w:pPr>
            <w:r w:rsidRPr="00D60B76">
              <w:rPr>
                <w:b/>
                <w:bCs/>
              </w:rPr>
              <w:t>ST-220-TD does not need to be submitted with your Proposal. This form must be filed with the Department of Taxation and Finance as instructed on the form prior to, or with, the submission of the ST-220-CA.</w:t>
            </w:r>
          </w:p>
          <w:p w14:paraId="09FD0771" w14:textId="77777777" w:rsidR="00D60B76" w:rsidRPr="00D60B76" w:rsidRDefault="00D60B76" w:rsidP="007B6532">
            <w:pPr>
              <w:spacing w:before="40" w:after="40"/>
              <w:jc w:val="both"/>
              <w:rPr>
                <w:b/>
                <w:bCs/>
              </w:rPr>
            </w:pPr>
          </w:p>
          <w:p w14:paraId="4B1329EE" w14:textId="77777777" w:rsidR="00D60B76" w:rsidRPr="00D60B76" w:rsidRDefault="00D60B76" w:rsidP="007B6532">
            <w:pPr>
              <w:spacing w:before="40" w:after="40"/>
              <w:jc w:val="both"/>
              <w:rPr>
                <w:b/>
                <w:bCs/>
              </w:rPr>
            </w:pPr>
            <w:r w:rsidRPr="00D60B76">
              <w:rPr>
                <w:b/>
                <w:bCs/>
              </w:rPr>
              <w:t>Exhibit F</w:t>
            </w:r>
            <w:r w:rsidRPr="00D60B76">
              <w:t xml:space="preserve"> </w:t>
            </w:r>
            <w:r w:rsidRPr="00D60B76">
              <w:rPr>
                <w:b/>
                <w:bCs/>
              </w:rPr>
              <w:t>does not need to be included with your Proposal. This form will only be requested from the tentative awardee.</w:t>
            </w:r>
          </w:p>
          <w:p w14:paraId="393C6BEC" w14:textId="77777777" w:rsidR="00D60B76" w:rsidRPr="00D60B76" w:rsidRDefault="00D60B76" w:rsidP="007B6532">
            <w:pPr>
              <w:spacing w:before="40" w:after="40"/>
              <w:jc w:val="both"/>
              <w:rPr>
                <w:b/>
                <w:bCs/>
              </w:rPr>
            </w:pPr>
          </w:p>
          <w:p w14:paraId="5E051C1E" w14:textId="77777777" w:rsidR="00D60B76" w:rsidRPr="00D60B76" w:rsidRDefault="00D60B76" w:rsidP="007B6532">
            <w:pPr>
              <w:spacing w:before="40" w:after="40"/>
              <w:jc w:val="both"/>
              <w:rPr>
                <w:b/>
                <w:bCs/>
              </w:rPr>
            </w:pPr>
            <w:r w:rsidRPr="00D60B76">
              <w:rPr>
                <w:b/>
                <w:bCs/>
              </w:rPr>
              <w:t xml:space="preserve">With respect to Exhibit E: </w:t>
            </w:r>
          </w:p>
          <w:p w14:paraId="00856934" w14:textId="4727191D" w:rsidR="00D60B76" w:rsidRPr="00F9598F" w:rsidRDefault="00D60B76" w:rsidP="009F2CDB">
            <w:pPr>
              <w:pStyle w:val="TableParagraph"/>
              <w:numPr>
                <w:ilvl w:val="0"/>
                <w:numId w:val="11"/>
              </w:numPr>
              <w:tabs>
                <w:tab w:val="left" w:pos="829"/>
              </w:tabs>
              <w:spacing w:before="40" w:after="120"/>
              <w:ind w:left="826"/>
              <w:rPr>
                <w:b/>
                <w:bCs/>
              </w:rPr>
            </w:pPr>
            <w:r w:rsidRPr="00F9598F">
              <w:rPr>
                <w:b/>
                <w:bCs/>
                <w:u w:val="single"/>
              </w:rPr>
              <w:t xml:space="preserve">Covered agency name: </w:t>
            </w:r>
            <w:r w:rsidRPr="00F9598F">
              <w:rPr>
                <w:b/>
                <w:bCs/>
              </w:rPr>
              <w:t>New York State Department of Taxation and Finance</w:t>
            </w:r>
          </w:p>
          <w:p w14:paraId="3CEF2304" w14:textId="77777777" w:rsidR="00D60B76" w:rsidRPr="00F9598F" w:rsidRDefault="00D60B76" w:rsidP="007B6532">
            <w:pPr>
              <w:pStyle w:val="TableParagraph"/>
              <w:numPr>
                <w:ilvl w:val="0"/>
                <w:numId w:val="11"/>
              </w:numPr>
              <w:tabs>
                <w:tab w:val="left" w:pos="829"/>
              </w:tabs>
              <w:spacing w:before="40"/>
              <w:rPr>
                <w:b/>
                <w:bCs/>
                <w:u w:val="single"/>
              </w:rPr>
            </w:pPr>
            <w:r w:rsidRPr="00F9598F">
              <w:rPr>
                <w:b/>
                <w:bCs/>
                <w:u w:val="single"/>
              </w:rPr>
              <w:t xml:space="preserve">Covered agency address: </w:t>
            </w:r>
          </w:p>
          <w:p w14:paraId="3D1F31AC" w14:textId="77777777" w:rsidR="00D60B76" w:rsidRPr="00D60B76" w:rsidRDefault="00D60B76" w:rsidP="007B6532">
            <w:pPr>
              <w:ind w:left="826"/>
              <w:rPr>
                <w:b/>
                <w:bCs/>
              </w:rPr>
            </w:pPr>
            <w:r w:rsidRPr="00D60B76">
              <w:rPr>
                <w:b/>
                <w:bCs/>
              </w:rPr>
              <w:t>New York State Department of Taxation and Finance</w:t>
            </w:r>
          </w:p>
          <w:p w14:paraId="70C17424" w14:textId="77777777" w:rsidR="00D60B76" w:rsidRPr="00D60B76" w:rsidRDefault="00D60B76" w:rsidP="007B6532">
            <w:pPr>
              <w:ind w:left="826"/>
              <w:rPr>
                <w:b/>
                <w:bCs/>
              </w:rPr>
            </w:pPr>
            <w:r w:rsidRPr="00D60B76">
              <w:rPr>
                <w:b/>
                <w:bCs/>
              </w:rPr>
              <w:t>W. A. Harriman State Office Building Campus</w:t>
            </w:r>
          </w:p>
          <w:p w14:paraId="48916F0E" w14:textId="77777777" w:rsidR="00D60B76" w:rsidRPr="00D60B76" w:rsidRDefault="00D60B76" w:rsidP="007B6532">
            <w:pPr>
              <w:spacing w:after="120"/>
              <w:ind w:left="826"/>
              <w:rPr>
                <w:b/>
                <w:bCs/>
              </w:rPr>
            </w:pPr>
            <w:r w:rsidRPr="00D60B76">
              <w:rPr>
                <w:b/>
                <w:bCs/>
              </w:rPr>
              <w:t>Albany, NY 12227</w:t>
            </w:r>
          </w:p>
          <w:p w14:paraId="4C869CF1" w14:textId="77777777" w:rsidR="00F9598F" w:rsidRPr="00F9598F" w:rsidRDefault="00D60B76" w:rsidP="00F9598F">
            <w:pPr>
              <w:pStyle w:val="TableParagraph"/>
              <w:numPr>
                <w:ilvl w:val="0"/>
                <w:numId w:val="11"/>
              </w:numPr>
              <w:tabs>
                <w:tab w:val="left" w:pos="829"/>
              </w:tabs>
              <w:spacing w:before="40"/>
              <w:rPr>
                <w:b/>
                <w:bCs/>
              </w:rPr>
            </w:pPr>
            <w:r w:rsidRPr="00F9598F">
              <w:rPr>
                <w:b/>
                <w:bCs/>
                <w:u w:val="single"/>
              </w:rPr>
              <w:t xml:space="preserve">Covered agency telephone number: </w:t>
            </w:r>
          </w:p>
          <w:p w14:paraId="668DECED" w14:textId="1DFEA181" w:rsidR="00D60B76" w:rsidRPr="00F9598F" w:rsidRDefault="00D60B76" w:rsidP="00F9598F">
            <w:pPr>
              <w:pStyle w:val="TableParagraph"/>
              <w:tabs>
                <w:tab w:val="left" w:pos="829"/>
              </w:tabs>
              <w:spacing w:before="40" w:after="120"/>
              <w:ind w:left="828"/>
              <w:rPr>
                <w:b/>
                <w:bCs/>
              </w:rPr>
            </w:pPr>
            <w:r w:rsidRPr="00F9598F">
              <w:rPr>
                <w:b/>
                <w:bCs/>
              </w:rPr>
              <w:t>518-530-4484</w:t>
            </w:r>
          </w:p>
          <w:p w14:paraId="36037D33" w14:textId="0EC1058D" w:rsidR="00D60B76" w:rsidRPr="00F9598F" w:rsidRDefault="00D60B76" w:rsidP="00A51CFD">
            <w:pPr>
              <w:pStyle w:val="TableParagraph"/>
              <w:numPr>
                <w:ilvl w:val="0"/>
                <w:numId w:val="11"/>
              </w:numPr>
              <w:tabs>
                <w:tab w:val="left" w:pos="829"/>
              </w:tabs>
              <w:spacing w:before="40" w:after="120"/>
              <w:rPr>
                <w:b/>
                <w:bCs/>
              </w:rPr>
            </w:pPr>
            <w:r w:rsidRPr="00F9598F">
              <w:rPr>
                <w:b/>
                <w:bCs/>
                <w:u w:val="single"/>
              </w:rPr>
              <w:t>Contract number or description</w:t>
            </w:r>
            <w:r w:rsidRPr="00F9598F">
              <w:rPr>
                <w:b/>
                <w:bCs/>
              </w:rPr>
              <w:t>:</w:t>
            </w:r>
            <w:r w:rsidR="00F9598F" w:rsidRPr="00F9598F">
              <w:rPr>
                <w:b/>
                <w:bCs/>
              </w:rPr>
              <w:t xml:space="preserve"> </w:t>
            </w:r>
            <w:r w:rsidRPr="00F9598F">
              <w:rPr>
                <w:b/>
                <w:bCs/>
              </w:rPr>
              <w:t>C400751</w:t>
            </w:r>
          </w:p>
          <w:p w14:paraId="2EE7A25D" w14:textId="250F8742" w:rsidR="00D60B76" w:rsidRPr="00BE08E0" w:rsidRDefault="00D60B76" w:rsidP="007B6532">
            <w:pPr>
              <w:pStyle w:val="TableParagraph"/>
              <w:numPr>
                <w:ilvl w:val="0"/>
                <w:numId w:val="11"/>
              </w:numPr>
              <w:tabs>
                <w:tab w:val="left" w:pos="829"/>
              </w:tabs>
              <w:spacing w:before="40" w:after="120"/>
              <w:jc w:val="both"/>
              <w:rPr>
                <w:b/>
                <w:bCs/>
              </w:rPr>
            </w:pPr>
            <w:r w:rsidRPr="00F9598F">
              <w:rPr>
                <w:b/>
                <w:bCs/>
                <w:u w:val="single"/>
              </w:rPr>
              <w:t>Value of contracts:</w:t>
            </w:r>
            <w:r w:rsidRPr="00D60B76">
              <w:rPr>
                <w:b/>
                <w:bCs/>
              </w:rPr>
              <w:t xml:space="preserve"> To be determined. </w:t>
            </w:r>
          </w:p>
        </w:tc>
      </w:tr>
      <w:tr w:rsidR="00D60B76" w:rsidRPr="004936F0" w14:paraId="663F77AE" w14:textId="3D1BDD64" w:rsidTr="00D60B76">
        <w:tc>
          <w:tcPr>
            <w:tcW w:w="462" w:type="dxa"/>
            <w:shd w:val="clear" w:color="auto" w:fill="D9D9D9" w:themeFill="background1" w:themeFillShade="D9"/>
          </w:tcPr>
          <w:p w14:paraId="204278EA" w14:textId="145B8FB3" w:rsidR="00D60B76" w:rsidRPr="004936F0" w:rsidRDefault="00D60B76" w:rsidP="001C163E">
            <w:pPr>
              <w:spacing w:before="40" w:after="40"/>
              <w:rPr>
                <w:b/>
                <w:bCs/>
              </w:rPr>
            </w:pPr>
            <w:r w:rsidRPr="004936F0">
              <w:rPr>
                <w:b/>
                <w:bCs/>
                <w:color w:val="000000"/>
              </w:rPr>
              <w:lastRenderedPageBreak/>
              <w:t>60</w:t>
            </w:r>
          </w:p>
        </w:tc>
        <w:tc>
          <w:tcPr>
            <w:tcW w:w="1696" w:type="dxa"/>
          </w:tcPr>
          <w:p w14:paraId="31256A32" w14:textId="4A576933" w:rsidR="00D60B76" w:rsidRPr="00D60B76" w:rsidRDefault="00D60B76" w:rsidP="001C163E">
            <w:pPr>
              <w:spacing w:before="40" w:after="40"/>
              <w:rPr>
                <w:color w:val="333333"/>
              </w:rPr>
            </w:pPr>
            <w:r w:rsidRPr="00D60B76">
              <w:t>n/a</w:t>
            </w:r>
          </w:p>
        </w:tc>
        <w:tc>
          <w:tcPr>
            <w:tcW w:w="717" w:type="dxa"/>
          </w:tcPr>
          <w:p w14:paraId="0367DB0E" w14:textId="166B9C40" w:rsidR="00D60B76" w:rsidRPr="00D60B76" w:rsidRDefault="00D60B76" w:rsidP="001C163E">
            <w:pPr>
              <w:spacing w:before="40" w:after="40"/>
              <w:rPr>
                <w:color w:val="333333"/>
              </w:rPr>
            </w:pPr>
            <w:r w:rsidRPr="00D60B76">
              <w:t>n/a</w:t>
            </w:r>
          </w:p>
        </w:tc>
        <w:tc>
          <w:tcPr>
            <w:tcW w:w="5670" w:type="dxa"/>
          </w:tcPr>
          <w:p w14:paraId="25ADA4DB" w14:textId="77777777" w:rsidR="00D60B76" w:rsidRPr="00D60B76" w:rsidRDefault="00D60B76" w:rsidP="007B6532">
            <w:pPr>
              <w:tabs>
                <w:tab w:val="left" w:pos="5119"/>
              </w:tabs>
              <w:spacing w:before="40" w:after="40"/>
              <w:ind w:right="128"/>
              <w:jc w:val="both"/>
              <w:rPr>
                <w:b/>
              </w:rPr>
            </w:pPr>
            <w:r w:rsidRPr="00D60B76">
              <w:t>In response to the request from the RFP: “</w:t>
            </w:r>
            <w:r w:rsidRPr="00D60B76">
              <w:rPr>
                <w:b/>
                <w:u w:val="thick"/>
              </w:rPr>
              <w:t>Also, during the Question and Answer period</w:t>
            </w:r>
            <w:r w:rsidRPr="00D60B76">
              <w:rPr>
                <w:b/>
                <w:u w:val="single"/>
              </w:rPr>
              <w:t>, Bidders</w:t>
            </w:r>
            <w:r w:rsidRPr="00D60B76">
              <w:rPr>
                <w:b/>
                <w:u w:val="thick"/>
              </w:rPr>
              <w:t xml:space="preserve"> should bring forward terms and conditions in the RFP that would prohibit a</w:t>
            </w:r>
            <w:r w:rsidRPr="00D60B76">
              <w:rPr>
                <w:b/>
                <w:u w:val="single"/>
              </w:rPr>
              <w:t xml:space="preserve"> </w:t>
            </w:r>
            <w:r w:rsidRPr="00D60B76">
              <w:rPr>
                <w:b/>
                <w:u w:val="thick"/>
              </w:rPr>
              <w:t>Bidder from bidding.”:</w:t>
            </w:r>
          </w:p>
          <w:p w14:paraId="5FE77E21" w14:textId="77777777" w:rsidR="00D60B76" w:rsidRPr="00D60B76" w:rsidRDefault="00D60B76" w:rsidP="007B6532">
            <w:pPr>
              <w:pStyle w:val="ListParagraph"/>
              <w:numPr>
                <w:ilvl w:val="0"/>
                <w:numId w:val="7"/>
              </w:numPr>
              <w:tabs>
                <w:tab w:val="left" w:pos="480"/>
                <w:tab w:val="left" w:pos="481"/>
                <w:tab w:val="left" w:pos="5119"/>
              </w:tabs>
              <w:spacing w:before="200" w:after="200"/>
              <w:ind w:right="130"/>
              <w:jc w:val="both"/>
            </w:pPr>
            <w:r w:rsidRPr="00D60B76">
              <w:t xml:space="preserve">There are significant start-up and ongoing administrative costs associated with state- facilitated, auto-IRA programs, particularly during the early years of a program that is built for scale. These include but are not limited to: marketing and communications; software development; employer onboarding and support; employee outreach; participant servicing; and printing and postage of program materials. These are just some of the larger expenses the RFP expects the </w:t>
            </w:r>
            <w:r w:rsidRPr="00D60B76">
              <w:lastRenderedPageBreak/>
              <w:t>provider to cover. It is very difficult to cover these expenses solely with participant fees limited to levels close to those of current peer programs. As such, a 7-year contract could result in a net loss for a provider. The cost proposal in the RFP does not appear to provide for additional revenue sources for a provider.</w:t>
            </w:r>
          </w:p>
          <w:p w14:paraId="4E56239D" w14:textId="77777777" w:rsidR="00D60B76" w:rsidRPr="00D60B76" w:rsidRDefault="00D60B76" w:rsidP="007B6532">
            <w:pPr>
              <w:pStyle w:val="ListParagraph"/>
              <w:numPr>
                <w:ilvl w:val="0"/>
                <w:numId w:val="7"/>
              </w:numPr>
              <w:tabs>
                <w:tab w:val="left" w:pos="480"/>
                <w:tab w:val="left" w:pos="481"/>
                <w:tab w:val="left" w:pos="5119"/>
              </w:tabs>
              <w:spacing w:before="200" w:after="200"/>
              <w:ind w:right="130"/>
              <w:jc w:val="both"/>
            </w:pPr>
            <w:r w:rsidRPr="00D60B76">
              <w:t>If the referenced 85% of calls answered within 45 seconds on a monthly basis is non- negotiable, it could preclude us from bidding.</w:t>
            </w:r>
          </w:p>
          <w:p w14:paraId="61EA3F20" w14:textId="220B1295" w:rsidR="00D60B76" w:rsidRPr="00D60B76" w:rsidRDefault="00D60B76" w:rsidP="007B6532">
            <w:pPr>
              <w:pStyle w:val="ListParagraph"/>
              <w:numPr>
                <w:ilvl w:val="0"/>
                <w:numId w:val="7"/>
              </w:numPr>
              <w:tabs>
                <w:tab w:val="left" w:pos="480"/>
                <w:tab w:val="left" w:pos="481"/>
                <w:tab w:val="left" w:pos="5119"/>
              </w:tabs>
              <w:spacing w:before="200" w:after="200"/>
              <w:ind w:right="130"/>
              <w:jc w:val="both"/>
            </w:pPr>
            <w:r w:rsidRPr="00D60B76">
              <w:t>The RFP process does not appear to allow for a bundled proposal, enabling an Investment Manager and Program Administrator to bid together. A bundled proposal could allow a sharing of expenses and responsibilities between multiple parties, which is very common in the 529 space.</w:t>
            </w:r>
          </w:p>
        </w:tc>
        <w:tc>
          <w:tcPr>
            <w:tcW w:w="5760" w:type="dxa"/>
            <w:shd w:val="clear" w:color="auto" w:fill="auto"/>
          </w:tcPr>
          <w:p w14:paraId="6C45267B" w14:textId="77777777" w:rsidR="00D60B76" w:rsidRPr="00D60B76" w:rsidRDefault="00D60B76" w:rsidP="007B6532">
            <w:pPr>
              <w:spacing w:before="40" w:after="40"/>
              <w:jc w:val="both"/>
              <w:rPr>
                <w:b/>
                <w:bCs/>
              </w:rPr>
            </w:pPr>
            <w:r w:rsidRPr="00D60B76">
              <w:rPr>
                <w:b/>
                <w:bCs/>
              </w:rPr>
              <w:lastRenderedPageBreak/>
              <w:t>Noted.</w:t>
            </w:r>
          </w:p>
          <w:p w14:paraId="0483D90D" w14:textId="77777777" w:rsidR="00D60B76" w:rsidRPr="00D60B76" w:rsidRDefault="00D60B76" w:rsidP="007B6532">
            <w:pPr>
              <w:spacing w:before="40" w:after="40"/>
              <w:jc w:val="both"/>
              <w:rPr>
                <w:b/>
                <w:bCs/>
              </w:rPr>
            </w:pPr>
          </w:p>
          <w:p w14:paraId="642457F3" w14:textId="77777777" w:rsidR="00D60B76" w:rsidRPr="00D60B76" w:rsidRDefault="00D60B76" w:rsidP="007B6532">
            <w:pPr>
              <w:spacing w:before="40" w:after="40"/>
              <w:jc w:val="both"/>
              <w:rPr>
                <w:b/>
                <w:bCs/>
              </w:rPr>
            </w:pPr>
          </w:p>
          <w:p w14:paraId="2D110E32" w14:textId="77777777" w:rsidR="00D60B76" w:rsidRPr="00D60B76" w:rsidRDefault="00D60B76" w:rsidP="007B6532">
            <w:pPr>
              <w:spacing w:before="40" w:after="40"/>
              <w:jc w:val="both"/>
              <w:rPr>
                <w:b/>
                <w:bCs/>
              </w:rPr>
            </w:pPr>
          </w:p>
          <w:p w14:paraId="61E791C9" w14:textId="77777777" w:rsidR="00D60B76" w:rsidRPr="00D60B76" w:rsidRDefault="00D60B76" w:rsidP="007B6532">
            <w:pPr>
              <w:spacing w:before="40" w:after="40"/>
              <w:jc w:val="both"/>
              <w:rPr>
                <w:b/>
                <w:bCs/>
              </w:rPr>
            </w:pPr>
          </w:p>
          <w:p w14:paraId="5F102ABE" w14:textId="77777777" w:rsidR="00D60B76" w:rsidRPr="00D60B76" w:rsidRDefault="00D60B76" w:rsidP="007B6532">
            <w:pPr>
              <w:spacing w:before="40" w:after="40"/>
              <w:jc w:val="both"/>
              <w:rPr>
                <w:b/>
                <w:bCs/>
              </w:rPr>
            </w:pPr>
          </w:p>
          <w:p w14:paraId="0465F015" w14:textId="77777777" w:rsidR="00D60B76" w:rsidRPr="00D60B76" w:rsidRDefault="00D60B76" w:rsidP="007B6532">
            <w:pPr>
              <w:spacing w:before="40" w:after="40"/>
              <w:jc w:val="both"/>
              <w:rPr>
                <w:b/>
                <w:bCs/>
              </w:rPr>
            </w:pPr>
          </w:p>
          <w:p w14:paraId="0EE93201" w14:textId="77777777" w:rsidR="00D60B76" w:rsidRPr="00D60B76" w:rsidRDefault="00D60B76" w:rsidP="007B6532">
            <w:pPr>
              <w:spacing w:before="40" w:after="40"/>
              <w:jc w:val="both"/>
              <w:rPr>
                <w:b/>
                <w:bCs/>
              </w:rPr>
            </w:pPr>
          </w:p>
          <w:p w14:paraId="035DE8CD" w14:textId="77777777" w:rsidR="00D60B76" w:rsidRPr="00D60B76" w:rsidRDefault="00D60B76" w:rsidP="007B6532">
            <w:pPr>
              <w:spacing w:before="40" w:after="40"/>
              <w:jc w:val="both"/>
              <w:rPr>
                <w:b/>
                <w:bCs/>
              </w:rPr>
            </w:pPr>
          </w:p>
          <w:p w14:paraId="7AD6DA39" w14:textId="77777777" w:rsidR="00D60B76" w:rsidRPr="00D60B76" w:rsidRDefault="00D60B76" w:rsidP="007B6532">
            <w:pPr>
              <w:spacing w:before="40" w:after="40"/>
              <w:jc w:val="both"/>
              <w:rPr>
                <w:b/>
                <w:bCs/>
              </w:rPr>
            </w:pPr>
          </w:p>
          <w:p w14:paraId="5DFF32EC" w14:textId="77777777" w:rsidR="00D60B76" w:rsidRPr="00D60B76" w:rsidRDefault="00D60B76" w:rsidP="007B6532">
            <w:pPr>
              <w:spacing w:before="40" w:after="40"/>
              <w:jc w:val="both"/>
              <w:rPr>
                <w:b/>
                <w:bCs/>
              </w:rPr>
            </w:pPr>
          </w:p>
          <w:p w14:paraId="290A5FB4" w14:textId="77777777" w:rsidR="00D60B76" w:rsidRPr="00D60B76" w:rsidRDefault="00D60B76" w:rsidP="007B6532">
            <w:pPr>
              <w:spacing w:before="40" w:after="40"/>
              <w:jc w:val="both"/>
              <w:rPr>
                <w:b/>
                <w:bCs/>
              </w:rPr>
            </w:pPr>
          </w:p>
          <w:p w14:paraId="20BA2E8D" w14:textId="77777777" w:rsidR="00D60B76" w:rsidRPr="00D60B76" w:rsidRDefault="00D60B76" w:rsidP="007B6532">
            <w:pPr>
              <w:spacing w:before="40" w:after="40"/>
              <w:jc w:val="both"/>
              <w:rPr>
                <w:b/>
                <w:bCs/>
              </w:rPr>
            </w:pPr>
          </w:p>
          <w:p w14:paraId="786074E8" w14:textId="77777777" w:rsidR="00D60B76" w:rsidRPr="00D60B76" w:rsidRDefault="00D60B76" w:rsidP="007B6532">
            <w:pPr>
              <w:spacing w:before="40" w:after="40"/>
              <w:jc w:val="both"/>
              <w:rPr>
                <w:b/>
                <w:bCs/>
              </w:rPr>
            </w:pPr>
          </w:p>
          <w:p w14:paraId="55D1674F" w14:textId="77777777" w:rsidR="00D60B76" w:rsidRPr="00D60B76" w:rsidRDefault="00D60B76" w:rsidP="007B6532">
            <w:pPr>
              <w:spacing w:before="40" w:after="40"/>
              <w:jc w:val="both"/>
              <w:rPr>
                <w:b/>
                <w:bCs/>
              </w:rPr>
            </w:pPr>
          </w:p>
          <w:p w14:paraId="7471437A" w14:textId="77777777" w:rsidR="00D60B76" w:rsidRPr="00D60B76" w:rsidRDefault="00D60B76" w:rsidP="007B6532">
            <w:pPr>
              <w:spacing w:before="40" w:after="40"/>
              <w:jc w:val="both"/>
              <w:rPr>
                <w:b/>
                <w:bCs/>
              </w:rPr>
            </w:pPr>
          </w:p>
          <w:p w14:paraId="22958939" w14:textId="77777777" w:rsidR="00D60B76" w:rsidRPr="00D60B76" w:rsidRDefault="00D60B76" w:rsidP="007B6532">
            <w:pPr>
              <w:spacing w:before="40" w:after="40"/>
              <w:jc w:val="both"/>
              <w:rPr>
                <w:b/>
                <w:bCs/>
              </w:rPr>
            </w:pPr>
          </w:p>
          <w:p w14:paraId="629D596B" w14:textId="77777777" w:rsidR="00D60B76" w:rsidRPr="00D60B76" w:rsidRDefault="00D60B76" w:rsidP="007B6532">
            <w:pPr>
              <w:spacing w:before="40" w:after="40"/>
              <w:jc w:val="both"/>
              <w:rPr>
                <w:b/>
                <w:bCs/>
              </w:rPr>
            </w:pPr>
          </w:p>
          <w:p w14:paraId="408E4EF7" w14:textId="77777777" w:rsidR="00D60B76" w:rsidRPr="00D60B76" w:rsidRDefault="00D60B76" w:rsidP="005022E9">
            <w:pPr>
              <w:spacing w:before="240" w:after="40"/>
              <w:jc w:val="both"/>
              <w:rPr>
                <w:b/>
                <w:bCs/>
              </w:rPr>
            </w:pPr>
          </w:p>
          <w:p w14:paraId="055C7DDC" w14:textId="219E9D41" w:rsidR="00D60B76" w:rsidRPr="00D60B76" w:rsidRDefault="00D60B76" w:rsidP="0077423D">
            <w:pPr>
              <w:spacing w:before="120" w:after="40"/>
              <w:jc w:val="both"/>
              <w:rPr>
                <w:b/>
                <w:bCs/>
              </w:rPr>
            </w:pPr>
            <w:r w:rsidRPr="00D60B76">
              <w:rPr>
                <w:b/>
                <w:bCs/>
              </w:rPr>
              <w:t xml:space="preserve">See </w:t>
            </w:r>
            <w:r w:rsidR="00DA15B6">
              <w:rPr>
                <w:b/>
                <w:bCs/>
              </w:rPr>
              <w:t>Answer to Question #25</w:t>
            </w:r>
            <w:r w:rsidRPr="00D60B76">
              <w:rPr>
                <w:b/>
                <w:bCs/>
              </w:rPr>
              <w:t>.</w:t>
            </w:r>
          </w:p>
          <w:p w14:paraId="0102757E" w14:textId="77777777" w:rsidR="00D60B76" w:rsidRPr="00D60B76" w:rsidRDefault="00D60B76" w:rsidP="007B6532">
            <w:pPr>
              <w:spacing w:before="40" w:after="40"/>
              <w:jc w:val="both"/>
              <w:rPr>
                <w:b/>
                <w:bCs/>
              </w:rPr>
            </w:pPr>
          </w:p>
          <w:p w14:paraId="0B612DE9" w14:textId="77777777" w:rsidR="00D60B76" w:rsidRPr="00D60B76" w:rsidRDefault="00D60B76" w:rsidP="007B6532">
            <w:pPr>
              <w:spacing w:before="40" w:after="40"/>
              <w:jc w:val="both"/>
              <w:rPr>
                <w:b/>
                <w:bCs/>
              </w:rPr>
            </w:pPr>
          </w:p>
          <w:p w14:paraId="7284A875" w14:textId="13EE7EF0" w:rsidR="00D60B76" w:rsidRPr="00D60B76" w:rsidRDefault="00D60B76" w:rsidP="007B6532">
            <w:pPr>
              <w:spacing w:before="120" w:after="40"/>
              <w:jc w:val="both"/>
              <w:rPr>
                <w:b/>
                <w:bCs/>
              </w:rPr>
            </w:pPr>
            <w:r w:rsidRPr="00D60B76">
              <w:rPr>
                <w:b/>
                <w:bCs/>
              </w:rPr>
              <w:t xml:space="preserve">Confirmed. </w:t>
            </w:r>
          </w:p>
        </w:tc>
      </w:tr>
    </w:tbl>
    <w:p w14:paraId="336869BF" w14:textId="77777777" w:rsidR="0076327D" w:rsidRDefault="0076327D" w:rsidP="004936F0">
      <w:pPr>
        <w:spacing w:before="40" w:after="40" w:line="240" w:lineRule="auto"/>
        <w:sectPr w:rsidR="0076327D" w:rsidSect="00BE08E0">
          <w:headerReference w:type="default" r:id="rId14"/>
          <w:footerReference w:type="default" r:id="rId15"/>
          <w:pgSz w:w="15840" w:h="12240" w:orient="landscape" w:code="1"/>
          <w:pgMar w:top="720" w:right="720" w:bottom="720" w:left="720" w:header="360" w:footer="360" w:gutter="0"/>
          <w:cols w:space="720"/>
          <w:docGrid w:linePitch="360"/>
        </w:sectPr>
      </w:pPr>
    </w:p>
    <w:p w14:paraId="135A194B" w14:textId="0EBCAFD1" w:rsidR="0076327D" w:rsidRPr="00926A09" w:rsidRDefault="00926A09" w:rsidP="00926A09">
      <w:pPr>
        <w:pStyle w:val="Heading1"/>
        <w:pBdr>
          <w:bottom w:val="single" w:sz="4" w:space="1" w:color="auto"/>
        </w:pBdr>
        <w:spacing w:before="0" w:line="240" w:lineRule="auto"/>
        <w:ind w:left="360" w:hanging="360"/>
        <w:rPr>
          <w:rFonts w:ascii="Arial" w:hAnsi="Arial" w:cs="Arial"/>
          <w:b/>
          <w:bCs/>
          <w:color w:val="auto"/>
          <w:sz w:val="28"/>
          <w:szCs w:val="28"/>
        </w:rPr>
      </w:pPr>
      <w:bookmarkStart w:id="6" w:name="_Toc513475185"/>
      <w:bookmarkStart w:id="7" w:name="_Toc122353509"/>
      <w:bookmarkStart w:id="8" w:name="_Toc134778213"/>
      <w:r>
        <w:rPr>
          <w:rFonts w:ascii="Arial" w:hAnsi="Arial" w:cs="Arial"/>
          <w:b/>
          <w:bCs/>
          <w:color w:val="auto"/>
          <w:sz w:val="28"/>
          <w:szCs w:val="28"/>
        </w:rPr>
        <w:lastRenderedPageBreak/>
        <w:t xml:space="preserve">2. </w:t>
      </w:r>
      <w:r>
        <w:rPr>
          <w:rFonts w:ascii="Arial" w:hAnsi="Arial" w:cs="Arial"/>
          <w:b/>
          <w:bCs/>
          <w:color w:val="auto"/>
          <w:sz w:val="28"/>
          <w:szCs w:val="28"/>
        </w:rPr>
        <w:tab/>
      </w:r>
      <w:r w:rsidR="0076327D" w:rsidRPr="00926A09">
        <w:rPr>
          <w:rFonts w:ascii="Arial" w:hAnsi="Arial" w:cs="Arial"/>
          <w:b/>
          <w:bCs/>
          <w:color w:val="auto"/>
          <w:sz w:val="28"/>
          <w:szCs w:val="28"/>
        </w:rPr>
        <w:t>Scope of Services</w:t>
      </w:r>
      <w:bookmarkEnd w:id="6"/>
      <w:bookmarkEnd w:id="7"/>
      <w:bookmarkEnd w:id="8"/>
    </w:p>
    <w:p w14:paraId="0289153C" w14:textId="77777777" w:rsidR="0076327D" w:rsidRPr="00942FEC" w:rsidRDefault="0076327D" w:rsidP="0076327D">
      <w:pPr>
        <w:keepNext/>
        <w:spacing w:before="120" w:after="60" w:line="240" w:lineRule="auto"/>
        <w:jc w:val="both"/>
      </w:pPr>
      <w:r w:rsidRPr="00942FEC">
        <w:t xml:space="preserve">The Contractor(s) will be expected to perform the applicable </w:t>
      </w:r>
      <w:r>
        <w:t>S</w:t>
      </w:r>
      <w:r w:rsidRPr="00942FEC">
        <w:t xml:space="preserve">ervices necessary to implement the </w:t>
      </w:r>
      <w:r w:rsidRPr="00E74DD8">
        <w:t xml:space="preserve">requirements of all Applicable Laws, including among others, the Act. The PA Services Contractor(s), </w:t>
      </w:r>
      <w:r w:rsidRPr="00E74DD8">
        <w:rPr>
          <w:rFonts w:eastAsia="Times New Roman"/>
          <w:kern w:val="32"/>
          <w:lang w:eastAsia="x-none"/>
        </w:rPr>
        <w:t xml:space="preserve">either on their own, or in combination with </w:t>
      </w:r>
      <w:r>
        <w:rPr>
          <w:rFonts w:eastAsia="Times New Roman"/>
          <w:kern w:val="32"/>
          <w:lang w:eastAsia="x-none"/>
        </w:rPr>
        <w:t>other service providers</w:t>
      </w:r>
      <w:r w:rsidRPr="00E74DD8">
        <w:rPr>
          <w:rFonts w:eastAsia="Times New Roman"/>
          <w:kern w:val="32"/>
          <w:lang w:eastAsia="x-none"/>
        </w:rPr>
        <w:t xml:space="preserve"> </w:t>
      </w:r>
      <w:r w:rsidRPr="00E74DD8">
        <w:t xml:space="preserve">providing Program Administration </w:t>
      </w:r>
      <w:r>
        <w:t>S</w:t>
      </w:r>
      <w:r w:rsidRPr="00E74DD8">
        <w:t xml:space="preserve">ervices, will be expected to perform all of the services listed under </w:t>
      </w:r>
      <w:r w:rsidRPr="00E74DD8">
        <w:rPr>
          <w:b/>
          <w:bCs/>
        </w:rPr>
        <w:t>Section 2.1,</w:t>
      </w:r>
      <w:r w:rsidRPr="00E74DD8">
        <w:t xml:space="preserve"> </w:t>
      </w:r>
      <w:r w:rsidRPr="00E71799">
        <w:rPr>
          <w:b/>
          <w:bCs/>
          <w:i/>
          <w:iCs/>
        </w:rPr>
        <w:t>Program Administration Services</w:t>
      </w:r>
      <w:r>
        <w:rPr>
          <w:b/>
          <w:bCs/>
          <w:i/>
          <w:iCs/>
        </w:rPr>
        <w:t xml:space="preserve"> Requirements</w:t>
      </w:r>
      <w:r w:rsidRPr="00A163FF">
        <w:t xml:space="preserve">. The IM Services Contractor(s) providing Investment Management </w:t>
      </w:r>
      <w:r>
        <w:t>S</w:t>
      </w:r>
      <w:r w:rsidRPr="00A163FF">
        <w:t xml:space="preserve">ervices will be expected to perform all of the services listed under </w:t>
      </w:r>
      <w:r w:rsidRPr="00A163FF">
        <w:rPr>
          <w:b/>
          <w:bCs/>
        </w:rPr>
        <w:t>Section 2.2</w:t>
      </w:r>
      <w:r w:rsidRPr="00FB75DB">
        <w:rPr>
          <w:b/>
          <w:bCs/>
        </w:rPr>
        <w:t>,</w:t>
      </w:r>
      <w:r w:rsidRPr="00A163FF">
        <w:rPr>
          <w:b/>
          <w:bCs/>
        </w:rPr>
        <w:t xml:space="preserve"> </w:t>
      </w:r>
      <w:r w:rsidRPr="00E71799">
        <w:rPr>
          <w:b/>
          <w:bCs/>
          <w:i/>
          <w:iCs/>
        </w:rPr>
        <w:t>Investment Management Services Requirements</w:t>
      </w:r>
      <w:r w:rsidRPr="00A163FF">
        <w:t>.</w:t>
      </w:r>
      <w:r w:rsidRPr="00942FEC">
        <w:t xml:space="preserve">  </w:t>
      </w:r>
    </w:p>
    <w:p w14:paraId="6000611B" w14:textId="77777777" w:rsidR="0076327D" w:rsidRPr="00942FEC" w:rsidRDefault="0076327D" w:rsidP="0076327D">
      <w:pPr>
        <w:pStyle w:val="ListParagraph"/>
        <w:keepNext/>
        <w:widowControl/>
        <w:numPr>
          <w:ilvl w:val="0"/>
          <w:numId w:val="18"/>
        </w:numPr>
        <w:autoSpaceDE/>
        <w:autoSpaceDN/>
        <w:spacing w:before="240" w:after="60"/>
        <w:ind w:right="0"/>
        <w:outlineLvl w:val="1"/>
        <w:rPr>
          <w:rFonts w:eastAsia="Times New Roman"/>
          <w:b/>
          <w:bCs/>
          <w:vanish/>
          <w:sz w:val="28"/>
          <w:szCs w:val="28"/>
          <w:lang w:eastAsia="x-none"/>
        </w:rPr>
      </w:pPr>
      <w:bookmarkStart w:id="9" w:name="_Toc122351580"/>
      <w:bookmarkStart w:id="10" w:name="_Toc122351721"/>
      <w:bookmarkStart w:id="11" w:name="_Toc122352214"/>
      <w:bookmarkStart w:id="12" w:name="_Toc122352450"/>
      <w:bookmarkStart w:id="13" w:name="_Toc122352589"/>
      <w:bookmarkStart w:id="14" w:name="_Toc122353510"/>
      <w:bookmarkStart w:id="15" w:name="_Toc122353663"/>
      <w:bookmarkStart w:id="16" w:name="_Toc122353816"/>
      <w:bookmarkStart w:id="17" w:name="_Toc122354041"/>
      <w:bookmarkStart w:id="18" w:name="_Toc122351581"/>
      <w:bookmarkStart w:id="19" w:name="_Toc122351722"/>
      <w:bookmarkStart w:id="20" w:name="_Toc122352215"/>
      <w:bookmarkStart w:id="21" w:name="_Toc122352451"/>
      <w:bookmarkStart w:id="22" w:name="_Toc122352590"/>
      <w:bookmarkStart w:id="23" w:name="_Toc122353511"/>
      <w:bookmarkStart w:id="24" w:name="_Toc122353664"/>
      <w:bookmarkStart w:id="25" w:name="_Toc122353817"/>
      <w:bookmarkStart w:id="26" w:name="_Toc122354042"/>
      <w:bookmarkStart w:id="27" w:name="_Toc122352216"/>
      <w:bookmarkStart w:id="28" w:name="_Toc122352452"/>
      <w:bookmarkStart w:id="29" w:name="_Toc122352591"/>
      <w:bookmarkStart w:id="30" w:name="_Toc122353512"/>
      <w:bookmarkStart w:id="31" w:name="_Toc122353665"/>
      <w:bookmarkStart w:id="32" w:name="_Toc122353818"/>
      <w:bookmarkStart w:id="33" w:name="_Toc122354043"/>
      <w:bookmarkStart w:id="34" w:name="_Toc133482690"/>
      <w:bookmarkStart w:id="35" w:name="_Toc133482838"/>
      <w:bookmarkStart w:id="36" w:name="_Toc133911806"/>
      <w:bookmarkStart w:id="37" w:name="_Toc13477821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99A3F80" w14:textId="77777777" w:rsidR="0076327D" w:rsidRPr="00942FEC" w:rsidRDefault="0076327D" w:rsidP="0076327D">
      <w:pPr>
        <w:pStyle w:val="ListParagraph"/>
        <w:keepNext/>
        <w:widowControl/>
        <w:numPr>
          <w:ilvl w:val="0"/>
          <w:numId w:val="18"/>
        </w:numPr>
        <w:autoSpaceDE/>
        <w:autoSpaceDN/>
        <w:spacing w:before="240" w:after="60"/>
        <w:ind w:right="0"/>
        <w:outlineLvl w:val="1"/>
        <w:rPr>
          <w:rFonts w:eastAsia="Times New Roman"/>
          <w:b/>
          <w:bCs/>
          <w:vanish/>
          <w:sz w:val="28"/>
          <w:szCs w:val="28"/>
          <w:lang w:eastAsia="x-none"/>
        </w:rPr>
      </w:pPr>
      <w:bookmarkStart w:id="38" w:name="_Toc133482691"/>
      <w:bookmarkStart w:id="39" w:name="_Toc133482839"/>
      <w:bookmarkStart w:id="40" w:name="_Toc133911807"/>
      <w:bookmarkStart w:id="41" w:name="_Toc134778215"/>
      <w:bookmarkEnd w:id="38"/>
      <w:bookmarkEnd w:id="39"/>
      <w:bookmarkEnd w:id="40"/>
      <w:bookmarkEnd w:id="41"/>
    </w:p>
    <w:p w14:paraId="7D82D130" w14:textId="77777777" w:rsidR="0076327D" w:rsidRPr="00942FEC" w:rsidRDefault="0076327D" w:rsidP="0076327D">
      <w:pPr>
        <w:pStyle w:val="ListParagraph"/>
        <w:keepNext/>
        <w:widowControl/>
        <w:numPr>
          <w:ilvl w:val="0"/>
          <w:numId w:val="16"/>
        </w:numPr>
        <w:autoSpaceDE/>
        <w:autoSpaceDN/>
        <w:spacing w:before="240" w:after="60"/>
        <w:ind w:right="0"/>
        <w:outlineLvl w:val="1"/>
        <w:rPr>
          <w:rFonts w:eastAsia="Times New Roman"/>
          <w:b/>
          <w:bCs/>
          <w:vanish/>
          <w:sz w:val="28"/>
          <w:szCs w:val="28"/>
          <w:lang w:eastAsia="x-none"/>
        </w:rPr>
      </w:pPr>
      <w:bookmarkStart w:id="42" w:name="_Toc133482692"/>
      <w:bookmarkStart w:id="43" w:name="_Toc133482840"/>
      <w:bookmarkStart w:id="44" w:name="_Toc133911808"/>
      <w:bookmarkStart w:id="45" w:name="_Toc134778216"/>
      <w:bookmarkEnd w:id="42"/>
      <w:bookmarkEnd w:id="43"/>
      <w:bookmarkEnd w:id="44"/>
      <w:bookmarkEnd w:id="45"/>
    </w:p>
    <w:p w14:paraId="1EA0076A" w14:textId="30BADCE4" w:rsidR="0076327D" w:rsidRPr="00A74E0E" w:rsidRDefault="00926A09" w:rsidP="00926A09">
      <w:pPr>
        <w:pStyle w:val="AKFsub"/>
        <w:numPr>
          <w:ilvl w:val="0"/>
          <w:numId w:val="0"/>
        </w:numPr>
        <w:ind w:left="720" w:hanging="720"/>
        <w:rPr>
          <w:rFonts w:ascii="Arial" w:hAnsi="Arial" w:cs="Arial"/>
          <w:i/>
          <w:sz w:val="24"/>
          <w:szCs w:val="24"/>
        </w:rPr>
      </w:pPr>
      <w:bookmarkStart w:id="46" w:name="_Toc122353513"/>
      <w:bookmarkStart w:id="47" w:name="_Toc134778217"/>
      <w:r>
        <w:rPr>
          <w:rFonts w:ascii="Arial" w:hAnsi="Arial" w:cs="Arial"/>
          <w:sz w:val="24"/>
          <w:szCs w:val="24"/>
        </w:rPr>
        <w:t xml:space="preserve">2.1 </w:t>
      </w:r>
      <w:r>
        <w:rPr>
          <w:rFonts w:ascii="Arial" w:hAnsi="Arial" w:cs="Arial"/>
          <w:sz w:val="24"/>
          <w:szCs w:val="24"/>
        </w:rPr>
        <w:tab/>
      </w:r>
      <w:r w:rsidR="0076327D" w:rsidRPr="00A74E0E">
        <w:rPr>
          <w:rFonts w:ascii="Arial" w:hAnsi="Arial" w:cs="Arial"/>
          <w:sz w:val="24"/>
          <w:szCs w:val="24"/>
        </w:rPr>
        <w:t>Program Administrat</w:t>
      </w:r>
      <w:r w:rsidR="0076327D">
        <w:rPr>
          <w:rFonts w:ascii="Arial" w:hAnsi="Arial" w:cs="Arial"/>
          <w:sz w:val="24"/>
          <w:szCs w:val="24"/>
        </w:rPr>
        <w:t>ion</w:t>
      </w:r>
      <w:r w:rsidR="0076327D" w:rsidRPr="00A74E0E">
        <w:rPr>
          <w:rFonts w:ascii="Arial" w:hAnsi="Arial" w:cs="Arial"/>
          <w:sz w:val="24"/>
          <w:szCs w:val="24"/>
        </w:rPr>
        <w:t xml:space="preserve"> Services</w:t>
      </w:r>
      <w:bookmarkEnd w:id="46"/>
      <w:r w:rsidR="0076327D" w:rsidRPr="00A74E0E">
        <w:rPr>
          <w:rFonts w:ascii="Arial" w:hAnsi="Arial" w:cs="Arial"/>
          <w:sz w:val="24"/>
          <w:szCs w:val="24"/>
        </w:rPr>
        <w:t xml:space="preserve"> Requirements</w:t>
      </w:r>
      <w:bookmarkEnd w:id="47"/>
      <w:r w:rsidR="0076327D" w:rsidRPr="00A74E0E">
        <w:rPr>
          <w:rFonts w:ascii="Arial" w:hAnsi="Arial" w:cs="Arial"/>
          <w:sz w:val="24"/>
          <w:szCs w:val="24"/>
        </w:rPr>
        <w:t xml:space="preserve"> </w:t>
      </w:r>
    </w:p>
    <w:p w14:paraId="7C49336A" w14:textId="77777777" w:rsidR="0076327D" w:rsidRPr="00942FEC" w:rsidRDefault="0076327D" w:rsidP="0076327D">
      <w:pPr>
        <w:pStyle w:val="ListParagraph"/>
        <w:keepNext/>
        <w:widowControl/>
        <w:numPr>
          <w:ilvl w:val="0"/>
          <w:numId w:val="12"/>
        </w:numPr>
        <w:autoSpaceDE/>
        <w:autoSpaceDN/>
        <w:spacing w:before="240" w:after="60"/>
        <w:ind w:right="0"/>
        <w:outlineLvl w:val="2"/>
        <w:rPr>
          <w:rFonts w:eastAsia="Times New Roman"/>
          <w:b/>
          <w:bCs/>
          <w:vanish/>
          <w:u w:val="single"/>
          <w:lang w:eastAsia="x-none"/>
        </w:rPr>
      </w:pPr>
      <w:bookmarkStart w:id="48" w:name="_Toc122351583"/>
      <w:bookmarkStart w:id="49" w:name="_Toc122351724"/>
      <w:bookmarkStart w:id="50" w:name="_Toc122352218"/>
      <w:bookmarkStart w:id="51" w:name="_Toc122352454"/>
      <w:bookmarkStart w:id="52" w:name="_Toc122352593"/>
      <w:bookmarkStart w:id="53" w:name="_Toc122353514"/>
      <w:bookmarkStart w:id="54" w:name="_Toc122353667"/>
      <w:bookmarkStart w:id="55" w:name="_Toc122353820"/>
      <w:bookmarkStart w:id="56" w:name="_Toc122354045"/>
      <w:bookmarkStart w:id="57" w:name="_Toc133482694"/>
      <w:bookmarkStart w:id="58" w:name="_Toc133482842"/>
      <w:bookmarkStart w:id="59" w:name="_Toc133911810"/>
      <w:bookmarkStart w:id="60" w:name="_Toc134778218"/>
      <w:bookmarkEnd w:id="48"/>
      <w:bookmarkEnd w:id="49"/>
      <w:bookmarkEnd w:id="50"/>
      <w:bookmarkEnd w:id="51"/>
      <w:bookmarkEnd w:id="52"/>
      <w:bookmarkEnd w:id="53"/>
      <w:bookmarkEnd w:id="54"/>
      <w:bookmarkEnd w:id="55"/>
      <w:bookmarkEnd w:id="56"/>
      <w:bookmarkEnd w:id="57"/>
      <w:bookmarkEnd w:id="58"/>
      <w:bookmarkEnd w:id="59"/>
      <w:bookmarkEnd w:id="60"/>
    </w:p>
    <w:p w14:paraId="1F465568" w14:textId="77777777" w:rsidR="0076327D" w:rsidRPr="00942FEC" w:rsidRDefault="0076327D" w:rsidP="0076327D">
      <w:pPr>
        <w:pStyle w:val="ListParagraph"/>
        <w:keepNext/>
        <w:widowControl/>
        <w:numPr>
          <w:ilvl w:val="0"/>
          <w:numId w:val="12"/>
        </w:numPr>
        <w:autoSpaceDE/>
        <w:autoSpaceDN/>
        <w:spacing w:before="240" w:after="60"/>
        <w:ind w:right="0"/>
        <w:outlineLvl w:val="2"/>
        <w:rPr>
          <w:rFonts w:eastAsia="Times New Roman"/>
          <w:b/>
          <w:bCs/>
          <w:vanish/>
          <w:u w:val="single"/>
          <w:lang w:eastAsia="x-none"/>
        </w:rPr>
      </w:pPr>
      <w:bookmarkStart w:id="61" w:name="_Toc122351584"/>
      <w:bookmarkStart w:id="62" w:name="_Toc122351725"/>
      <w:bookmarkStart w:id="63" w:name="_Toc122352219"/>
      <w:bookmarkStart w:id="64" w:name="_Toc122352455"/>
      <w:bookmarkStart w:id="65" w:name="_Toc122352594"/>
      <w:bookmarkStart w:id="66" w:name="_Toc122353515"/>
      <w:bookmarkStart w:id="67" w:name="_Toc122353668"/>
      <w:bookmarkStart w:id="68" w:name="_Toc122353821"/>
      <w:bookmarkStart w:id="69" w:name="_Toc122354046"/>
      <w:bookmarkStart w:id="70" w:name="_Toc133482695"/>
      <w:bookmarkStart w:id="71" w:name="_Toc133482843"/>
      <w:bookmarkStart w:id="72" w:name="_Toc133911811"/>
      <w:bookmarkStart w:id="73" w:name="_Toc134778219"/>
      <w:bookmarkEnd w:id="61"/>
      <w:bookmarkEnd w:id="62"/>
      <w:bookmarkEnd w:id="63"/>
      <w:bookmarkEnd w:id="64"/>
      <w:bookmarkEnd w:id="65"/>
      <w:bookmarkEnd w:id="66"/>
      <w:bookmarkEnd w:id="67"/>
      <w:bookmarkEnd w:id="68"/>
      <w:bookmarkEnd w:id="69"/>
      <w:bookmarkEnd w:id="70"/>
      <w:bookmarkEnd w:id="71"/>
      <w:bookmarkEnd w:id="72"/>
      <w:bookmarkEnd w:id="73"/>
    </w:p>
    <w:p w14:paraId="68473FD6" w14:textId="77777777" w:rsidR="0076327D" w:rsidRPr="00942FEC" w:rsidRDefault="0076327D" w:rsidP="0076327D">
      <w:pPr>
        <w:pStyle w:val="ListParagraph"/>
        <w:keepNext/>
        <w:widowControl/>
        <w:numPr>
          <w:ilvl w:val="1"/>
          <w:numId w:val="12"/>
        </w:numPr>
        <w:autoSpaceDE/>
        <w:autoSpaceDN/>
        <w:spacing w:before="240" w:after="60"/>
        <w:ind w:right="0"/>
        <w:outlineLvl w:val="2"/>
        <w:rPr>
          <w:rFonts w:eastAsia="Times New Roman"/>
          <w:b/>
          <w:bCs/>
          <w:vanish/>
          <w:u w:val="single"/>
          <w:lang w:eastAsia="x-none"/>
        </w:rPr>
      </w:pPr>
      <w:bookmarkStart w:id="74" w:name="_Toc122351585"/>
      <w:bookmarkStart w:id="75" w:name="_Toc122351726"/>
      <w:bookmarkStart w:id="76" w:name="_Toc122352220"/>
      <w:bookmarkStart w:id="77" w:name="_Toc122352456"/>
      <w:bookmarkStart w:id="78" w:name="_Toc122352595"/>
      <w:bookmarkStart w:id="79" w:name="_Toc122353516"/>
      <w:bookmarkStart w:id="80" w:name="_Toc122353669"/>
      <w:bookmarkStart w:id="81" w:name="_Toc122353822"/>
      <w:bookmarkStart w:id="82" w:name="_Toc122354047"/>
      <w:bookmarkStart w:id="83" w:name="_Toc133482696"/>
      <w:bookmarkStart w:id="84" w:name="_Toc133482844"/>
      <w:bookmarkStart w:id="85" w:name="_Toc133911812"/>
      <w:bookmarkStart w:id="86" w:name="_Toc134778220"/>
      <w:bookmarkEnd w:id="74"/>
      <w:bookmarkEnd w:id="75"/>
      <w:bookmarkEnd w:id="76"/>
      <w:bookmarkEnd w:id="77"/>
      <w:bookmarkEnd w:id="78"/>
      <w:bookmarkEnd w:id="79"/>
      <w:bookmarkEnd w:id="80"/>
      <w:bookmarkEnd w:id="81"/>
      <w:bookmarkEnd w:id="82"/>
      <w:bookmarkEnd w:id="83"/>
      <w:bookmarkEnd w:id="84"/>
      <w:bookmarkEnd w:id="85"/>
      <w:bookmarkEnd w:id="86"/>
    </w:p>
    <w:p w14:paraId="1068D268" w14:textId="57E5310A" w:rsidR="0076327D" w:rsidRPr="00E74DD8" w:rsidRDefault="00926A09" w:rsidP="00926A09">
      <w:pPr>
        <w:pStyle w:val="AKFSubsub"/>
        <w:numPr>
          <w:ilvl w:val="0"/>
          <w:numId w:val="0"/>
        </w:numPr>
        <w:spacing w:line="240" w:lineRule="auto"/>
        <w:ind w:left="720"/>
        <w:rPr>
          <w:rFonts w:ascii="Arial" w:hAnsi="Arial" w:cs="Arial"/>
          <w:u w:val="none"/>
        </w:rPr>
      </w:pPr>
      <w:bookmarkStart w:id="87" w:name="_Toc122351727"/>
      <w:bookmarkStart w:id="88" w:name="_Toc122353517"/>
      <w:bookmarkStart w:id="89" w:name="_Toc122360117"/>
      <w:bookmarkStart w:id="90" w:name="_Toc134778221"/>
      <w:r>
        <w:rPr>
          <w:rFonts w:ascii="Arial" w:hAnsi="Arial" w:cs="Arial"/>
          <w:u w:val="none"/>
        </w:rPr>
        <w:t xml:space="preserve">2.1.1. </w:t>
      </w:r>
      <w:r>
        <w:rPr>
          <w:rFonts w:ascii="Arial" w:hAnsi="Arial" w:cs="Arial"/>
          <w:u w:val="none"/>
        </w:rPr>
        <w:tab/>
      </w:r>
      <w:r w:rsidR="0076327D" w:rsidRPr="002D0253">
        <w:rPr>
          <w:rFonts w:ascii="Arial" w:hAnsi="Arial" w:cs="Arial"/>
          <w:u w:val="none"/>
        </w:rPr>
        <w:t>Administration and Compliance</w:t>
      </w:r>
      <w:bookmarkEnd w:id="87"/>
      <w:bookmarkEnd w:id="88"/>
      <w:bookmarkEnd w:id="89"/>
      <w:bookmarkEnd w:id="90"/>
    </w:p>
    <w:p w14:paraId="205C9535" w14:textId="77777777" w:rsidR="0076327D" w:rsidRPr="00942FEC" w:rsidRDefault="0076327D" w:rsidP="00926A09">
      <w:pPr>
        <w:spacing w:before="60" w:line="240" w:lineRule="auto"/>
        <w:ind w:left="1440"/>
        <w:jc w:val="both"/>
      </w:pPr>
      <w:r w:rsidRPr="00E74DD8">
        <w:t xml:space="preserve">Throughout the term of the Agreement, the PA Services Contractor(s) must provide the following Administration and Compliance services for the Program within the Continental United States (“CONUS”) and in compliance with the </w:t>
      </w:r>
      <w:r w:rsidRPr="00942FEC">
        <w:t>Act, all applicable federal and state laws and regulations, and rules, policies, and guidelines promulgated by the Board with respect to the Program:</w:t>
      </w:r>
    </w:p>
    <w:p w14:paraId="1AD4D94A" w14:textId="0BC7904B" w:rsidR="0076327D" w:rsidRPr="00942FEC" w:rsidRDefault="00926A09" w:rsidP="00926A09">
      <w:pPr>
        <w:spacing w:after="200" w:line="240" w:lineRule="auto"/>
        <w:ind w:left="2520" w:hanging="1080"/>
        <w:jc w:val="both"/>
        <w:rPr>
          <w:lang w:eastAsia="x-none"/>
        </w:rPr>
      </w:pPr>
      <w:r>
        <w:t xml:space="preserve">2.1.1.1. </w:t>
      </w:r>
      <w:r>
        <w:tab/>
      </w:r>
      <w:r w:rsidR="0076327D" w:rsidRPr="00942FEC">
        <w:t>Provide recommendations on and assistance with implementing Program design elements. Monitor for changes in the legal and regulatory environment that may materially affect the Program and provide recommendations for amendments to the Program processes and offering materials.</w:t>
      </w:r>
    </w:p>
    <w:p w14:paraId="72A0A6D9" w14:textId="2C0CDFE2" w:rsidR="0076327D" w:rsidRPr="00942FEC" w:rsidRDefault="00926A09" w:rsidP="00926A09">
      <w:pPr>
        <w:spacing w:after="200" w:line="240" w:lineRule="auto"/>
        <w:ind w:left="2520" w:hanging="1080"/>
        <w:jc w:val="both"/>
        <w:rPr>
          <w:lang w:eastAsia="x-none"/>
        </w:rPr>
      </w:pPr>
      <w:r>
        <w:t xml:space="preserve">2.1.1.2. </w:t>
      </w:r>
      <w:r>
        <w:tab/>
      </w:r>
      <w:r w:rsidR="0076327D" w:rsidRPr="00942FEC">
        <w:t xml:space="preserve">Provide a key personnel team to serve the Program and notify the Program </w:t>
      </w:r>
      <w:r w:rsidR="0076327D" w:rsidRPr="0076327D">
        <w:t xml:space="preserve">of any changes to the management or composition of that team. </w:t>
      </w:r>
      <w:r w:rsidR="0076327D" w:rsidRPr="0076327D">
        <w:rPr>
          <w:strike/>
          <w:color w:val="C00000"/>
        </w:rPr>
        <w:t>The State reserves  the right to screen and approve or deny key personnel, including PA Services Contractor(s) employees and Subcontractor(s), assigned to this engagement.</w:t>
      </w:r>
      <w:r w:rsidR="0076327D" w:rsidRPr="009C6B24">
        <w:rPr>
          <w:strike/>
          <w:color w:val="C00000"/>
        </w:rPr>
        <w:t xml:space="preserve"> </w:t>
      </w:r>
      <w:r w:rsidR="0076327D" w:rsidRPr="0076327D">
        <w:t>Member</w:t>
      </w:r>
      <w:r w:rsidR="0076327D" w:rsidRPr="0015476F">
        <w:t>(s) of the key personnel team must:</w:t>
      </w:r>
    </w:p>
    <w:p w14:paraId="182DD12A" w14:textId="77777777" w:rsidR="0076327D" w:rsidRPr="00942FEC" w:rsidRDefault="0076327D" w:rsidP="00926A09">
      <w:pPr>
        <w:pStyle w:val="ListParagraph"/>
        <w:widowControl/>
        <w:numPr>
          <w:ilvl w:val="0"/>
          <w:numId w:val="13"/>
        </w:numPr>
        <w:autoSpaceDE/>
        <w:autoSpaceDN/>
        <w:spacing w:after="60"/>
        <w:ind w:left="3420" w:right="0"/>
      </w:pPr>
      <w:r w:rsidRPr="00942FEC">
        <w:t xml:space="preserve">Attend Board meetings commencing with </w:t>
      </w:r>
      <w:r>
        <w:t xml:space="preserve">OSC approval </w:t>
      </w:r>
      <w:r w:rsidRPr="00942FEC">
        <w:t>of the Agreement, unless otherwise directed by the Program.</w:t>
      </w:r>
    </w:p>
    <w:p w14:paraId="30BDF553" w14:textId="77777777" w:rsidR="0076327D" w:rsidRPr="00942FEC" w:rsidRDefault="0076327D" w:rsidP="00926A09">
      <w:pPr>
        <w:pStyle w:val="ListParagraph"/>
        <w:widowControl/>
        <w:numPr>
          <w:ilvl w:val="0"/>
          <w:numId w:val="13"/>
        </w:numPr>
        <w:autoSpaceDE/>
        <w:autoSpaceDN/>
        <w:spacing w:after="200"/>
        <w:ind w:left="3420" w:right="0"/>
      </w:pPr>
      <w:r w:rsidRPr="00942FEC">
        <w:t>Respond to the need for telephone consultation within a 24-hour period and be available to the Program between the hours of 8:00 a.m. – 5:00 p.m. ET on Business Days (Monday through Friday, not including New York Stock Exchange holidays).</w:t>
      </w:r>
    </w:p>
    <w:p w14:paraId="02794C6B" w14:textId="0E0B91B8" w:rsidR="0076327D" w:rsidRPr="00942FEC" w:rsidRDefault="00926A09" w:rsidP="00926A09">
      <w:pPr>
        <w:spacing w:after="200" w:line="240" w:lineRule="auto"/>
        <w:ind w:left="2520" w:hanging="1080"/>
        <w:jc w:val="both"/>
      </w:pPr>
      <w:r>
        <w:t xml:space="preserve">2.1.1.3. </w:t>
      </w:r>
      <w:r>
        <w:tab/>
      </w:r>
      <w:r w:rsidR="0076327D" w:rsidRPr="00942FEC">
        <w:t xml:space="preserve">Develop, provide and distribute the following documentation prior to the opening of the Program for enrollment as described in §1309 of the Act (Employer and Enrollee </w:t>
      </w:r>
      <w:r w:rsidR="0076327D">
        <w:t>I</w:t>
      </w:r>
      <w:r w:rsidR="0076327D" w:rsidRPr="00942FEC">
        <w:t xml:space="preserve">nformational </w:t>
      </w:r>
      <w:r w:rsidR="0076327D">
        <w:t>M</w:t>
      </w:r>
      <w:r w:rsidR="0076327D" w:rsidRPr="00942FEC">
        <w:t xml:space="preserve">aterials and disclosure forms) upon approval from the Program, including: </w:t>
      </w:r>
    </w:p>
    <w:p w14:paraId="0275617E" w14:textId="77777777" w:rsidR="0076327D" w:rsidRPr="00FB75DB" w:rsidRDefault="0076327D" w:rsidP="0076327D">
      <w:pPr>
        <w:pStyle w:val="ListParagraph"/>
        <w:widowControl/>
        <w:numPr>
          <w:ilvl w:val="0"/>
          <w:numId w:val="13"/>
        </w:numPr>
        <w:autoSpaceDE/>
        <w:autoSpaceDN/>
        <w:spacing w:after="60"/>
        <w:ind w:left="3420" w:right="0"/>
      </w:pPr>
      <w:r w:rsidRPr="00942FEC">
        <w:t xml:space="preserve">Program Forms – </w:t>
      </w:r>
      <w:r w:rsidRPr="00FB75DB">
        <w:t xml:space="preserve">forms and operating documents necessary to administer the Program, including but not limited to, enrollment or application forms, </w:t>
      </w:r>
      <w:r>
        <w:t>B</w:t>
      </w:r>
      <w:r w:rsidRPr="00FB75DB">
        <w:t>eneficiary designation forms, opt-out forms, transactional change forms, etc.</w:t>
      </w:r>
    </w:p>
    <w:p w14:paraId="382ED219" w14:textId="77777777" w:rsidR="00926A09" w:rsidRDefault="0076327D" w:rsidP="0076327D">
      <w:pPr>
        <w:pStyle w:val="ListParagraph"/>
        <w:widowControl/>
        <w:numPr>
          <w:ilvl w:val="0"/>
          <w:numId w:val="13"/>
        </w:numPr>
        <w:autoSpaceDE/>
        <w:autoSpaceDN/>
        <w:spacing w:after="60"/>
        <w:ind w:left="3420" w:right="0"/>
        <w:sectPr w:rsidR="00926A09" w:rsidSect="00BE08E0">
          <w:headerReference w:type="default" r:id="rId16"/>
          <w:footerReference w:type="default" r:id="rId17"/>
          <w:pgSz w:w="12240" w:h="15840" w:code="1"/>
          <w:pgMar w:top="1440" w:right="1440" w:bottom="1170" w:left="1440" w:header="360" w:footer="360" w:gutter="0"/>
          <w:pgNumType w:start="29"/>
          <w:cols w:space="720"/>
          <w:docGrid w:linePitch="360"/>
        </w:sectPr>
      </w:pPr>
      <w:r w:rsidRPr="00FB75DB">
        <w:t>Manuals – complete</w:t>
      </w:r>
      <w:r w:rsidRPr="00942FEC">
        <w:t xml:space="preserve"> and fully documented administration and operations manual.</w:t>
      </w:r>
    </w:p>
    <w:p w14:paraId="6A782547" w14:textId="77777777" w:rsidR="00926A09" w:rsidRPr="00AC2D7B" w:rsidRDefault="00926A09" w:rsidP="00926A09">
      <w:pPr>
        <w:pStyle w:val="ListParagraph"/>
        <w:widowControl/>
        <w:autoSpaceDE/>
        <w:autoSpaceDN/>
        <w:spacing w:after="120"/>
        <w:ind w:left="2520" w:right="0" w:firstLine="0"/>
        <w:jc w:val="both"/>
      </w:pPr>
      <w:bookmarkStart w:id="91" w:name="_Hlk139548022"/>
      <w:r w:rsidRPr="00942FEC">
        <w:lastRenderedPageBreak/>
        <w:t xml:space="preserve">operational disruption. The business continuity and disaster recovery plan must be tested at least twice annually and results must be made available to the Program upon request. The situs of disaster recovery location must be </w:t>
      </w:r>
      <w:r w:rsidRPr="00AC2D7B">
        <w:t>maintained within CONUS.</w:t>
      </w:r>
    </w:p>
    <w:p w14:paraId="1E3AF2E8" w14:textId="65362895" w:rsidR="00926A09" w:rsidRPr="0067380F" w:rsidRDefault="00926A09" w:rsidP="00926A09">
      <w:pPr>
        <w:spacing w:after="120" w:line="240" w:lineRule="auto"/>
        <w:ind w:left="2520" w:hanging="1080"/>
        <w:jc w:val="both"/>
      </w:pPr>
      <w:r>
        <w:t xml:space="preserve">2.1.1.9. </w:t>
      </w:r>
      <w:r>
        <w:tab/>
      </w:r>
      <w:r w:rsidRPr="00AC2D7B">
        <w:t>Engage as necessary and work cooperatively with the IM Services Contractor(s). In the event of a dispute or conflict between or among the PA Services Contractor(s) and the IM Services Contractor(s), the PA Services Contractor(s) will</w:t>
      </w:r>
      <w:r w:rsidRPr="00CC2689">
        <w:t xml:space="preserve"> notify the Program. </w:t>
      </w:r>
      <w:r w:rsidRPr="0067380F">
        <w:t xml:space="preserve">   </w:t>
      </w:r>
    </w:p>
    <w:p w14:paraId="56856727" w14:textId="6B3952A5" w:rsidR="00926A09" w:rsidRPr="000D6974" w:rsidRDefault="00926A09" w:rsidP="00926A09">
      <w:pPr>
        <w:spacing w:after="120" w:line="240" w:lineRule="auto"/>
        <w:ind w:left="2520" w:hanging="1080"/>
        <w:jc w:val="both"/>
      </w:pPr>
      <w:r>
        <w:t xml:space="preserve">2.1.1.10. </w:t>
      </w:r>
      <w:r>
        <w:tab/>
      </w:r>
      <w:r w:rsidRPr="000D6974">
        <w:t>Maintain insurance coverage for the nature and scope of PA Services and assets under management.</w:t>
      </w:r>
      <w:r w:rsidRPr="001430EF">
        <w:rPr>
          <w:strike/>
          <w:color w:val="C00000"/>
        </w:rPr>
        <w:t xml:space="preserve"> These include, but are not</w:t>
      </w:r>
      <w:r w:rsidRPr="001430EF">
        <w:rPr>
          <w:color w:val="C00000"/>
        </w:rPr>
        <w:t xml:space="preserve"> </w:t>
      </w:r>
      <w:r w:rsidR="001430EF" w:rsidRPr="001430EF">
        <w:rPr>
          <w:color w:val="2E74B5" w:themeColor="accent5" w:themeShade="BF"/>
          <w:u w:val="single"/>
        </w:rPr>
        <w:t>The Program anticipates these will likely include, but need not be</w:t>
      </w:r>
      <w:r w:rsidR="001430EF" w:rsidRPr="001430EF">
        <w:rPr>
          <w:color w:val="2E74B5" w:themeColor="accent5" w:themeShade="BF"/>
        </w:rPr>
        <w:t xml:space="preserve"> </w:t>
      </w:r>
      <w:r w:rsidRPr="000D6974">
        <w:t>limited to</w:t>
      </w:r>
      <w:r>
        <w:t xml:space="preserve">: </w:t>
      </w:r>
      <w:bookmarkStart w:id="92" w:name="_Hlk123031580"/>
      <w:bookmarkStart w:id="93" w:name="_Hlk126923734"/>
      <w:r w:rsidRPr="00923F59">
        <w:t xml:space="preserve">Professional Liability </w:t>
      </w:r>
      <w:r w:rsidRPr="000D6974">
        <w:t>Errors &amp; Omissions; Blanket Bond Coverage plus Computer Crime (covering Employee Dishonesty); Commercial General Liability; Data Breach and Privacy/Cyber Liability; Umbrella.</w:t>
      </w:r>
      <w:bookmarkEnd w:id="92"/>
      <w:bookmarkEnd w:id="93"/>
      <w:r w:rsidRPr="000D6974">
        <w:t xml:space="preserve"> Where it may be provided, the insurance coverage will be extended to cover the Board and the State as named “Additional Insureds”.</w:t>
      </w:r>
    </w:p>
    <w:p w14:paraId="56D317D6" w14:textId="0935A299" w:rsidR="00926A09" w:rsidRPr="00AC2D7B" w:rsidRDefault="00926A09" w:rsidP="00926A09">
      <w:pPr>
        <w:spacing w:after="200" w:line="240" w:lineRule="auto"/>
        <w:ind w:left="2520" w:hanging="1080"/>
        <w:jc w:val="both"/>
      </w:pPr>
      <w:r>
        <w:t xml:space="preserve">2.1.1.11. </w:t>
      </w:r>
      <w:r>
        <w:tab/>
      </w:r>
      <w:r w:rsidRPr="000D6974">
        <w:t xml:space="preserve">Upon request by Program personnel, provide the Program with copies (in a format that may be </w:t>
      </w:r>
      <w:r w:rsidRPr="00AC2D7B">
        <w:t>easily used by the Program) of those parts of PA Services Contractor’s and Subcontractors’ SSAE 18 SOC1 and SOC2 Type 2 reports that contain information about systems controls (and audits thereof) that are relevant to the PA Services being provided to the Program.</w:t>
      </w:r>
    </w:p>
    <w:p w14:paraId="7B465052" w14:textId="1333DC4F" w:rsidR="00926A09" w:rsidRPr="00AC2D7B" w:rsidRDefault="00926A09" w:rsidP="00926A09">
      <w:pPr>
        <w:pStyle w:val="AKFSubsub"/>
        <w:numPr>
          <w:ilvl w:val="0"/>
          <w:numId w:val="0"/>
        </w:numPr>
        <w:spacing w:line="240" w:lineRule="auto"/>
        <w:ind w:left="1440" w:hanging="720"/>
        <w:rPr>
          <w:rFonts w:ascii="Arial" w:hAnsi="Arial" w:cs="Arial"/>
          <w:b w:val="0"/>
        </w:rPr>
      </w:pPr>
      <w:bookmarkStart w:id="94" w:name="_Toc122353518"/>
      <w:bookmarkStart w:id="95" w:name="_Toc122360118"/>
      <w:bookmarkStart w:id="96" w:name="_Toc134778222"/>
      <w:r>
        <w:rPr>
          <w:rFonts w:ascii="Arial" w:hAnsi="Arial" w:cs="Arial"/>
          <w:u w:val="none"/>
        </w:rPr>
        <w:t xml:space="preserve">2.1.2. </w:t>
      </w:r>
      <w:r>
        <w:rPr>
          <w:rFonts w:ascii="Arial" w:hAnsi="Arial" w:cs="Arial"/>
          <w:u w:val="none"/>
        </w:rPr>
        <w:tab/>
      </w:r>
      <w:r w:rsidRPr="00AC2D7B">
        <w:rPr>
          <w:rFonts w:ascii="Arial" w:hAnsi="Arial" w:cs="Arial"/>
          <w:u w:val="none"/>
        </w:rPr>
        <w:t>Recordkeeping</w:t>
      </w:r>
      <w:bookmarkEnd w:id="94"/>
      <w:bookmarkEnd w:id="95"/>
      <w:bookmarkEnd w:id="96"/>
    </w:p>
    <w:p w14:paraId="538442FD" w14:textId="77777777" w:rsidR="00926A09" w:rsidRPr="00942FEC" w:rsidRDefault="00926A09" w:rsidP="00926A09">
      <w:pPr>
        <w:spacing w:before="60" w:line="240" w:lineRule="auto"/>
        <w:ind w:left="1440"/>
        <w:jc w:val="both"/>
      </w:pPr>
      <w:r w:rsidRPr="00AC2D7B">
        <w:t>Throughout the term of the Agreement, the PA Services Contractor(s) must provide the following Recordkeeping services for the Program within</w:t>
      </w:r>
      <w:r w:rsidRPr="00942FEC">
        <w:t xml:space="preserve"> CONUS and in compliance with the Act, all applicable federal and state laws and regulations:</w:t>
      </w:r>
    </w:p>
    <w:p w14:paraId="140ABEA7" w14:textId="7C8EA506" w:rsidR="00926A09" w:rsidRPr="00942FEC" w:rsidRDefault="00926A09" w:rsidP="00926A09">
      <w:pPr>
        <w:pStyle w:val="ListParagraph"/>
        <w:widowControl/>
        <w:autoSpaceDE/>
        <w:autoSpaceDN/>
        <w:ind w:left="2520" w:right="0" w:hanging="1080"/>
        <w:jc w:val="both"/>
      </w:pPr>
      <w:r>
        <w:t xml:space="preserve">2.1.2.1. </w:t>
      </w:r>
      <w:r>
        <w:tab/>
      </w:r>
      <w:r w:rsidRPr="00942FEC">
        <w:t>Provide necessary recordkeeping, fund accounting and banking services to ensure efficient operation of a payroll-deduction IRA in accordance with §1310 of the Act. Services include, but are not limited to:</w:t>
      </w:r>
    </w:p>
    <w:p w14:paraId="7B40BEDE" w14:textId="77777777" w:rsidR="00926A09" w:rsidRPr="00942FEC" w:rsidRDefault="00926A09" w:rsidP="00926A09">
      <w:pPr>
        <w:pStyle w:val="ListParagraph"/>
        <w:widowControl/>
        <w:numPr>
          <w:ilvl w:val="0"/>
          <w:numId w:val="13"/>
        </w:numPr>
        <w:autoSpaceDE/>
        <w:autoSpaceDN/>
        <w:spacing w:after="60"/>
        <w:ind w:left="3420" w:right="0"/>
      </w:pPr>
      <w:r w:rsidRPr="00942FEC">
        <w:t xml:space="preserve">Enrollment of new </w:t>
      </w:r>
      <w:r>
        <w:t>A</w:t>
      </w:r>
      <w:r w:rsidRPr="00942FEC">
        <w:t xml:space="preserve">ccounts including </w:t>
      </w:r>
      <w:r>
        <w:t>B</w:t>
      </w:r>
      <w:r w:rsidRPr="00942FEC">
        <w:t>eneficiary information.</w:t>
      </w:r>
    </w:p>
    <w:p w14:paraId="7DE73F4F" w14:textId="77777777" w:rsidR="00926A09" w:rsidRPr="00942FEC" w:rsidRDefault="00926A09" w:rsidP="00926A09">
      <w:pPr>
        <w:pStyle w:val="ListParagraph"/>
        <w:widowControl/>
        <w:numPr>
          <w:ilvl w:val="0"/>
          <w:numId w:val="13"/>
        </w:numPr>
        <w:autoSpaceDE/>
        <w:autoSpaceDN/>
        <w:spacing w:after="60"/>
        <w:ind w:left="3420" w:right="0"/>
      </w:pPr>
      <w:r w:rsidRPr="00942FEC">
        <w:t xml:space="preserve">Ability to fund the </w:t>
      </w:r>
      <w:r>
        <w:t>A</w:t>
      </w:r>
      <w:r w:rsidRPr="00942FEC">
        <w:t xml:space="preserve">ccount from a variety of sources including ACH, EFT, physical checks, payroll direct deposit, and </w:t>
      </w:r>
      <w:r>
        <w:t>R</w:t>
      </w:r>
      <w:r w:rsidRPr="00942FEC">
        <w:t>ollovers from other Roth IRAs or Roth 401(k)s.</w:t>
      </w:r>
    </w:p>
    <w:p w14:paraId="2B74B2DC" w14:textId="77777777" w:rsidR="00926A09" w:rsidRPr="00942FEC" w:rsidRDefault="00926A09" w:rsidP="00926A09">
      <w:pPr>
        <w:pStyle w:val="ListParagraph"/>
        <w:widowControl/>
        <w:numPr>
          <w:ilvl w:val="0"/>
          <w:numId w:val="13"/>
        </w:numPr>
        <w:autoSpaceDE/>
        <w:autoSpaceDN/>
        <w:spacing w:after="60"/>
        <w:ind w:left="3420" w:right="0"/>
      </w:pPr>
      <w:r w:rsidRPr="00942FEC">
        <w:t>Process additional contributions.</w:t>
      </w:r>
    </w:p>
    <w:p w14:paraId="36FE70D2" w14:textId="77777777" w:rsidR="00926A09" w:rsidRPr="00942FEC" w:rsidRDefault="00926A09" w:rsidP="00926A09">
      <w:pPr>
        <w:pStyle w:val="ListParagraph"/>
        <w:widowControl/>
        <w:numPr>
          <w:ilvl w:val="0"/>
          <w:numId w:val="13"/>
        </w:numPr>
        <w:autoSpaceDE/>
        <w:autoSpaceDN/>
        <w:spacing w:after="60"/>
        <w:ind w:left="3420" w:right="0"/>
      </w:pPr>
      <w:r w:rsidRPr="00942FEC">
        <w:t>Make investment option exchanges.</w:t>
      </w:r>
    </w:p>
    <w:p w14:paraId="5A3B0C64" w14:textId="77777777" w:rsidR="00926A09" w:rsidRPr="00942FEC" w:rsidRDefault="00926A09" w:rsidP="00926A09">
      <w:pPr>
        <w:pStyle w:val="ListParagraph"/>
        <w:widowControl/>
        <w:numPr>
          <w:ilvl w:val="0"/>
          <w:numId w:val="13"/>
        </w:numPr>
        <w:autoSpaceDE/>
        <w:autoSpaceDN/>
        <w:spacing w:after="60"/>
        <w:ind w:left="3420" w:right="0"/>
      </w:pPr>
      <w:r w:rsidRPr="00942FEC">
        <w:t xml:space="preserve">Make </w:t>
      </w:r>
      <w:r>
        <w:t>A</w:t>
      </w:r>
      <w:r w:rsidRPr="00942FEC">
        <w:t>ccount information changes.</w:t>
      </w:r>
    </w:p>
    <w:p w14:paraId="26574BF2" w14:textId="77777777" w:rsidR="00926A09" w:rsidRPr="00942FEC" w:rsidRDefault="00926A09" w:rsidP="00926A09">
      <w:pPr>
        <w:pStyle w:val="ListParagraph"/>
        <w:widowControl/>
        <w:numPr>
          <w:ilvl w:val="0"/>
          <w:numId w:val="13"/>
        </w:numPr>
        <w:autoSpaceDE/>
        <w:autoSpaceDN/>
        <w:spacing w:after="60"/>
        <w:ind w:left="3420" w:right="0"/>
      </w:pPr>
      <w:r w:rsidRPr="00942FEC">
        <w:t xml:space="preserve">Process withdrawals from the </w:t>
      </w:r>
      <w:r>
        <w:t>A</w:t>
      </w:r>
      <w:r w:rsidRPr="00942FEC">
        <w:t xml:space="preserve">ccount through a variety of sources including physical checks, ACH, required minimum distributions, and </w:t>
      </w:r>
      <w:r>
        <w:t>R</w:t>
      </w:r>
      <w:r w:rsidRPr="00942FEC">
        <w:t>ollovers to other qualified plans.</w:t>
      </w:r>
    </w:p>
    <w:p w14:paraId="7E0940CD" w14:textId="77777777" w:rsidR="00926A09" w:rsidRPr="00942FEC" w:rsidRDefault="00926A09" w:rsidP="00926A09">
      <w:pPr>
        <w:pStyle w:val="ListParagraph"/>
        <w:tabs>
          <w:tab w:val="left" w:pos="2520"/>
        </w:tabs>
        <w:spacing w:before="120"/>
        <w:ind w:left="2520" w:firstLine="0"/>
        <w:jc w:val="both"/>
        <w:rPr>
          <w:lang w:eastAsia="x-none"/>
        </w:rPr>
      </w:pPr>
      <w:bookmarkStart w:id="97" w:name="_Hlk126925385"/>
      <w:r w:rsidRPr="00942FEC">
        <w:t xml:space="preserve">The enrollment flow must </w:t>
      </w:r>
      <w:r>
        <w:t>comply</w:t>
      </w:r>
      <w:r w:rsidRPr="00942FEC">
        <w:t xml:space="preserve"> with </w:t>
      </w:r>
      <w:r w:rsidRPr="006B61CC">
        <w:t xml:space="preserve">anti-money laundering </w:t>
      </w:r>
      <w:r>
        <w:t>laws and requirements.</w:t>
      </w:r>
      <w:bookmarkEnd w:id="97"/>
    </w:p>
    <w:p w14:paraId="6C29D03A" w14:textId="2D84DDE5" w:rsidR="0076327D" w:rsidRDefault="00926A09" w:rsidP="00926A09">
      <w:pPr>
        <w:pStyle w:val="ListParagraph"/>
        <w:widowControl/>
        <w:autoSpaceDE/>
        <w:autoSpaceDN/>
        <w:spacing w:before="120"/>
        <w:ind w:left="2520" w:right="0" w:hanging="1080"/>
        <w:jc w:val="both"/>
        <w:sectPr w:rsidR="0076327D" w:rsidSect="00BE08E0">
          <w:footerReference w:type="default" r:id="rId18"/>
          <w:type w:val="continuous"/>
          <w:pgSz w:w="12240" w:h="15840" w:code="1"/>
          <w:pgMar w:top="1440" w:right="1440" w:bottom="1170" w:left="1440" w:header="360" w:footer="360" w:gutter="0"/>
          <w:pgNumType w:start="29"/>
          <w:cols w:space="720"/>
          <w:docGrid w:linePitch="360"/>
        </w:sectPr>
      </w:pPr>
      <w:r>
        <w:t xml:space="preserve">2.1.2.2. </w:t>
      </w:r>
      <w:r>
        <w:tab/>
      </w:r>
      <w:r w:rsidRPr="00942FEC">
        <w:t>Provide custodial services necessary to support the Program investment options as described in §1308 of the Act, including, but not</w:t>
      </w:r>
      <w:bookmarkEnd w:id="91"/>
    </w:p>
    <w:p w14:paraId="1B262D6A" w14:textId="77777777" w:rsidR="0076327D" w:rsidRPr="00942FEC" w:rsidRDefault="0076327D" w:rsidP="0076327D">
      <w:pPr>
        <w:pStyle w:val="ListParagraph"/>
        <w:widowControl/>
        <w:numPr>
          <w:ilvl w:val="0"/>
          <w:numId w:val="13"/>
        </w:numPr>
        <w:autoSpaceDE/>
        <w:autoSpaceDN/>
        <w:spacing w:after="60"/>
        <w:ind w:left="3420" w:right="0"/>
      </w:pPr>
      <w:r w:rsidRPr="00942FEC">
        <w:lastRenderedPageBreak/>
        <w:t>Educational information regarding options available to the Enrollees.</w:t>
      </w:r>
    </w:p>
    <w:p w14:paraId="22A90085" w14:textId="77777777" w:rsidR="0076327D" w:rsidRPr="00942FEC" w:rsidRDefault="0076327D" w:rsidP="0076327D">
      <w:pPr>
        <w:pStyle w:val="ListParagraph"/>
        <w:widowControl/>
        <w:numPr>
          <w:ilvl w:val="0"/>
          <w:numId w:val="13"/>
        </w:numPr>
        <w:autoSpaceDE/>
        <w:autoSpaceDN/>
        <w:spacing w:after="60"/>
        <w:ind w:left="3420" w:right="0"/>
      </w:pPr>
      <w:r w:rsidRPr="00942FEC">
        <w:t>Account transfer instructions for Enrollees.</w:t>
      </w:r>
    </w:p>
    <w:p w14:paraId="4885ACF5" w14:textId="77777777" w:rsidR="0076327D" w:rsidRPr="00942FEC" w:rsidRDefault="0076327D" w:rsidP="0076327D">
      <w:pPr>
        <w:pStyle w:val="ListParagraph"/>
        <w:widowControl/>
        <w:numPr>
          <w:ilvl w:val="0"/>
          <w:numId w:val="13"/>
        </w:numPr>
        <w:autoSpaceDE/>
        <w:autoSpaceDN/>
        <w:spacing w:after="60"/>
        <w:ind w:left="3420" w:right="0"/>
      </w:pPr>
      <w:r w:rsidRPr="00942FEC">
        <w:t>Description of the Program.</w:t>
      </w:r>
    </w:p>
    <w:p w14:paraId="4B490726" w14:textId="77777777" w:rsidR="0076327D" w:rsidRPr="00942FEC" w:rsidRDefault="0076327D" w:rsidP="0076327D">
      <w:pPr>
        <w:pStyle w:val="ListParagraph"/>
        <w:widowControl/>
        <w:numPr>
          <w:ilvl w:val="0"/>
          <w:numId w:val="13"/>
        </w:numPr>
        <w:autoSpaceDE/>
        <w:autoSpaceDN/>
        <w:spacing w:after="60"/>
        <w:ind w:left="3420" w:right="0"/>
      </w:pPr>
      <w:r w:rsidRPr="00942FEC">
        <w:t>Benefits of retirement saving.</w:t>
      </w:r>
    </w:p>
    <w:p w14:paraId="4BA415F8" w14:textId="77777777" w:rsidR="0076327D" w:rsidRPr="00942FEC" w:rsidRDefault="0076327D" w:rsidP="0076327D">
      <w:pPr>
        <w:pStyle w:val="ListParagraph"/>
        <w:widowControl/>
        <w:numPr>
          <w:ilvl w:val="0"/>
          <w:numId w:val="13"/>
        </w:numPr>
        <w:autoSpaceDE/>
        <w:autoSpaceDN/>
        <w:spacing w:after="60"/>
        <w:ind w:left="3420" w:right="0"/>
      </w:pPr>
      <w:r w:rsidRPr="00942FEC">
        <w:t xml:space="preserve">Provide educational information on Roth IRA accounts including tax implications and </w:t>
      </w:r>
      <w:r>
        <w:t>B</w:t>
      </w:r>
      <w:r w:rsidRPr="00942FEC">
        <w:t>eneficiary designations.</w:t>
      </w:r>
    </w:p>
    <w:p w14:paraId="70EBAAC6" w14:textId="77777777" w:rsidR="0076327D" w:rsidRDefault="0076327D" w:rsidP="0076327D">
      <w:pPr>
        <w:pStyle w:val="ListParagraph"/>
        <w:widowControl/>
        <w:numPr>
          <w:ilvl w:val="0"/>
          <w:numId w:val="13"/>
        </w:numPr>
        <w:autoSpaceDE/>
        <w:autoSpaceDN/>
        <w:spacing w:after="60"/>
        <w:ind w:left="3420" w:right="0"/>
      </w:pPr>
      <w:r w:rsidRPr="00942FEC">
        <w:t>Include retirement savings education and modelling tools.</w:t>
      </w:r>
    </w:p>
    <w:p w14:paraId="1C036C69" w14:textId="77777777" w:rsidR="0076327D" w:rsidRPr="00942FEC" w:rsidRDefault="0076327D" w:rsidP="0076327D">
      <w:pPr>
        <w:pStyle w:val="ListParagraph"/>
        <w:widowControl/>
        <w:numPr>
          <w:ilvl w:val="0"/>
          <w:numId w:val="13"/>
        </w:numPr>
        <w:autoSpaceDE/>
        <w:autoSpaceDN/>
        <w:spacing w:after="60"/>
        <w:ind w:left="3420" w:right="0"/>
      </w:pPr>
      <w:r w:rsidRPr="008227B9">
        <w:t>A copy of the periodic reviews of Program services as described in §1304(5) of the Act.</w:t>
      </w:r>
    </w:p>
    <w:p w14:paraId="4A62C2FF" w14:textId="77777777" w:rsidR="0076327D" w:rsidRPr="00942FEC" w:rsidRDefault="0076327D" w:rsidP="0076327D">
      <w:pPr>
        <w:spacing w:after="0" w:line="240" w:lineRule="auto"/>
      </w:pPr>
    </w:p>
    <w:p w14:paraId="49DF9C15" w14:textId="77777777" w:rsidR="0076327D" w:rsidRPr="00942FEC" w:rsidRDefault="0076327D" w:rsidP="0076327D">
      <w:pPr>
        <w:pStyle w:val="ListParagraph"/>
        <w:widowControl/>
        <w:numPr>
          <w:ilvl w:val="0"/>
          <w:numId w:val="14"/>
        </w:numPr>
        <w:autoSpaceDE/>
        <w:autoSpaceDN/>
        <w:spacing w:after="200"/>
        <w:ind w:right="0"/>
        <w:rPr>
          <w:vanish/>
        </w:rPr>
      </w:pPr>
    </w:p>
    <w:p w14:paraId="2273BD9A" w14:textId="77777777" w:rsidR="0076327D" w:rsidRPr="00942FEC" w:rsidRDefault="0076327D" w:rsidP="0076327D">
      <w:pPr>
        <w:pStyle w:val="ListParagraph"/>
        <w:widowControl/>
        <w:numPr>
          <w:ilvl w:val="0"/>
          <w:numId w:val="14"/>
        </w:numPr>
        <w:autoSpaceDE/>
        <w:autoSpaceDN/>
        <w:spacing w:after="200"/>
        <w:ind w:right="0"/>
        <w:rPr>
          <w:vanish/>
        </w:rPr>
      </w:pPr>
    </w:p>
    <w:p w14:paraId="4D3D8CF8" w14:textId="77777777" w:rsidR="0076327D" w:rsidRPr="00942FEC" w:rsidRDefault="0076327D" w:rsidP="0076327D">
      <w:pPr>
        <w:pStyle w:val="ListParagraph"/>
        <w:widowControl/>
        <w:numPr>
          <w:ilvl w:val="1"/>
          <w:numId w:val="14"/>
        </w:numPr>
        <w:autoSpaceDE/>
        <w:autoSpaceDN/>
        <w:spacing w:after="200"/>
        <w:ind w:right="0"/>
        <w:rPr>
          <w:vanish/>
        </w:rPr>
      </w:pPr>
    </w:p>
    <w:p w14:paraId="4D55DFA2" w14:textId="77777777" w:rsidR="0076327D" w:rsidRPr="00942FEC" w:rsidRDefault="0076327D" w:rsidP="0076327D">
      <w:pPr>
        <w:pStyle w:val="ListParagraph"/>
        <w:widowControl/>
        <w:numPr>
          <w:ilvl w:val="2"/>
          <w:numId w:val="14"/>
        </w:numPr>
        <w:autoSpaceDE/>
        <w:autoSpaceDN/>
        <w:spacing w:after="200"/>
        <w:ind w:right="0"/>
        <w:rPr>
          <w:vanish/>
        </w:rPr>
      </w:pPr>
    </w:p>
    <w:p w14:paraId="72712603" w14:textId="77777777" w:rsidR="0076327D" w:rsidRPr="00942FEC" w:rsidRDefault="0076327D" w:rsidP="0076327D">
      <w:pPr>
        <w:pStyle w:val="ListParagraph"/>
        <w:widowControl/>
        <w:numPr>
          <w:ilvl w:val="2"/>
          <w:numId w:val="14"/>
        </w:numPr>
        <w:autoSpaceDE/>
        <w:autoSpaceDN/>
        <w:spacing w:after="200"/>
        <w:ind w:right="0"/>
        <w:rPr>
          <w:vanish/>
        </w:rPr>
      </w:pPr>
    </w:p>
    <w:p w14:paraId="79CC2AF6" w14:textId="77777777" w:rsidR="0076327D" w:rsidRPr="00942FEC" w:rsidRDefault="0076327D" w:rsidP="0076327D">
      <w:pPr>
        <w:pStyle w:val="ListParagraph"/>
        <w:widowControl/>
        <w:numPr>
          <w:ilvl w:val="3"/>
          <w:numId w:val="14"/>
        </w:numPr>
        <w:autoSpaceDE/>
        <w:autoSpaceDN/>
        <w:spacing w:after="200"/>
        <w:ind w:right="0"/>
        <w:rPr>
          <w:vanish/>
        </w:rPr>
      </w:pPr>
    </w:p>
    <w:p w14:paraId="28991289" w14:textId="77777777" w:rsidR="0076327D" w:rsidRPr="00942FEC" w:rsidRDefault="0076327D" w:rsidP="0076327D">
      <w:pPr>
        <w:pStyle w:val="ListParagraph"/>
        <w:widowControl/>
        <w:numPr>
          <w:ilvl w:val="3"/>
          <w:numId w:val="14"/>
        </w:numPr>
        <w:autoSpaceDE/>
        <w:autoSpaceDN/>
        <w:spacing w:after="200"/>
        <w:ind w:right="0"/>
        <w:rPr>
          <w:vanish/>
        </w:rPr>
      </w:pPr>
    </w:p>
    <w:p w14:paraId="1368CC4B" w14:textId="77777777" w:rsidR="0076327D" w:rsidRPr="00942FEC" w:rsidRDefault="0076327D" w:rsidP="0076327D">
      <w:pPr>
        <w:pStyle w:val="ListParagraph"/>
        <w:widowControl/>
        <w:numPr>
          <w:ilvl w:val="3"/>
          <w:numId w:val="14"/>
        </w:numPr>
        <w:autoSpaceDE/>
        <w:autoSpaceDN/>
        <w:spacing w:after="200"/>
        <w:ind w:right="0"/>
        <w:rPr>
          <w:vanish/>
        </w:rPr>
      </w:pPr>
    </w:p>
    <w:p w14:paraId="36720767" w14:textId="77777777" w:rsidR="0076327D" w:rsidRPr="00942FEC" w:rsidRDefault="0076327D" w:rsidP="0076327D">
      <w:pPr>
        <w:pStyle w:val="ListParagraph"/>
        <w:widowControl/>
        <w:numPr>
          <w:ilvl w:val="3"/>
          <w:numId w:val="14"/>
        </w:numPr>
        <w:autoSpaceDE/>
        <w:autoSpaceDN/>
        <w:spacing w:after="200"/>
        <w:ind w:right="0"/>
        <w:rPr>
          <w:vanish/>
        </w:rPr>
      </w:pPr>
    </w:p>
    <w:p w14:paraId="4F92D00F" w14:textId="77777777" w:rsidR="0076327D" w:rsidRPr="00942FEC" w:rsidRDefault="0076327D" w:rsidP="0076327D">
      <w:pPr>
        <w:pStyle w:val="ListParagraph"/>
        <w:widowControl/>
        <w:numPr>
          <w:ilvl w:val="3"/>
          <w:numId w:val="14"/>
        </w:numPr>
        <w:autoSpaceDE/>
        <w:autoSpaceDN/>
        <w:spacing w:after="200"/>
        <w:ind w:right="0"/>
        <w:rPr>
          <w:vanish/>
        </w:rPr>
      </w:pPr>
    </w:p>
    <w:p w14:paraId="4E44C0E4" w14:textId="77777777" w:rsidR="0076327D" w:rsidRPr="00942FEC" w:rsidRDefault="0076327D" w:rsidP="0076327D">
      <w:pPr>
        <w:pStyle w:val="ListParagraph"/>
        <w:widowControl/>
        <w:numPr>
          <w:ilvl w:val="3"/>
          <w:numId w:val="14"/>
        </w:numPr>
        <w:autoSpaceDE/>
        <w:autoSpaceDN/>
        <w:spacing w:after="200"/>
        <w:ind w:right="0"/>
        <w:rPr>
          <w:vanish/>
        </w:rPr>
      </w:pPr>
    </w:p>
    <w:p w14:paraId="3EA8C4D1" w14:textId="77777777" w:rsidR="0076327D" w:rsidRPr="00942FEC" w:rsidRDefault="0076327D" w:rsidP="0076327D">
      <w:pPr>
        <w:pStyle w:val="ListParagraph"/>
        <w:widowControl/>
        <w:numPr>
          <w:ilvl w:val="3"/>
          <w:numId w:val="14"/>
        </w:numPr>
        <w:autoSpaceDE/>
        <w:autoSpaceDN/>
        <w:spacing w:after="200"/>
        <w:ind w:right="0"/>
        <w:rPr>
          <w:vanish/>
        </w:rPr>
      </w:pPr>
    </w:p>
    <w:p w14:paraId="6B936588" w14:textId="77777777" w:rsidR="0076327D" w:rsidRPr="00307B8B" w:rsidRDefault="0076327D" w:rsidP="0076327D">
      <w:pPr>
        <w:pStyle w:val="ListParagraph"/>
        <w:keepNext/>
        <w:widowControl/>
        <w:numPr>
          <w:ilvl w:val="2"/>
          <w:numId w:val="12"/>
        </w:numPr>
        <w:autoSpaceDE/>
        <w:autoSpaceDN/>
        <w:spacing w:before="240" w:after="60" w:line="276" w:lineRule="auto"/>
        <w:ind w:right="0"/>
        <w:outlineLvl w:val="2"/>
        <w:rPr>
          <w:rFonts w:eastAsia="Times New Roman" w:cs="Calibri"/>
          <w:b/>
          <w:bCs/>
          <w:vanish/>
          <w:u w:val="single"/>
          <w:lang w:eastAsia="x-none"/>
        </w:rPr>
      </w:pPr>
    </w:p>
    <w:p w14:paraId="10AB09EC" w14:textId="77777777" w:rsidR="0076327D" w:rsidRPr="00307B8B" w:rsidRDefault="0076327D" w:rsidP="0076327D">
      <w:pPr>
        <w:pStyle w:val="ListParagraph"/>
        <w:keepNext/>
        <w:widowControl/>
        <w:numPr>
          <w:ilvl w:val="3"/>
          <w:numId w:val="12"/>
        </w:numPr>
        <w:autoSpaceDE/>
        <w:autoSpaceDN/>
        <w:spacing w:before="240" w:after="60" w:line="276" w:lineRule="auto"/>
        <w:ind w:right="0"/>
        <w:outlineLvl w:val="2"/>
        <w:rPr>
          <w:rFonts w:eastAsia="Times New Roman" w:cs="Calibri"/>
          <w:b/>
          <w:bCs/>
          <w:vanish/>
          <w:u w:val="single"/>
          <w:lang w:eastAsia="x-none"/>
        </w:rPr>
      </w:pPr>
    </w:p>
    <w:p w14:paraId="0CA84B6D" w14:textId="77777777" w:rsidR="0076327D" w:rsidRPr="00307B8B" w:rsidRDefault="0076327D" w:rsidP="0076327D">
      <w:pPr>
        <w:pStyle w:val="ListParagraph"/>
        <w:keepNext/>
        <w:widowControl/>
        <w:numPr>
          <w:ilvl w:val="3"/>
          <w:numId w:val="12"/>
        </w:numPr>
        <w:autoSpaceDE/>
        <w:autoSpaceDN/>
        <w:spacing w:before="240" w:after="60" w:line="276" w:lineRule="auto"/>
        <w:ind w:right="0"/>
        <w:outlineLvl w:val="2"/>
        <w:rPr>
          <w:rFonts w:eastAsia="Times New Roman" w:cs="Calibri"/>
          <w:b/>
          <w:bCs/>
          <w:vanish/>
          <w:u w:val="single"/>
          <w:lang w:eastAsia="x-none"/>
        </w:rPr>
      </w:pPr>
    </w:p>
    <w:p w14:paraId="2F6239EA" w14:textId="77777777" w:rsidR="0076327D" w:rsidRPr="00307B8B" w:rsidRDefault="0076327D" w:rsidP="0076327D">
      <w:pPr>
        <w:pStyle w:val="ListParagraph"/>
        <w:keepNext/>
        <w:widowControl/>
        <w:numPr>
          <w:ilvl w:val="3"/>
          <w:numId w:val="12"/>
        </w:numPr>
        <w:autoSpaceDE/>
        <w:autoSpaceDN/>
        <w:spacing w:before="240" w:after="60" w:line="276" w:lineRule="auto"/>
        <w:ind w:right="0"/>
        <w:outlineLvl w:val="2"/>
        <w:rPr>
          <w:rFonts w:eastAsia="Times New Roman" w:cs="Calibri"/>
          <w:b/>
          <w:bCs/>
          <w:vanish/>
          <w:u w:val="single"/>
          <w:lang w:eastAsia="x-none"/>
        </w:rPr>
      </w:pPr>
    </w:p>
    <w:p w14:paraId="66548B04" w14:textId="3947A7E1" w:rsidR="0076327D" w:rsidRPr="00307B8B" w:rsidRDefault="00926A09" w:rsidP="00926A09">
      <w:pPr>
        <w:pStyle w:val="ListParagraph"/>
        <w:widowControl/>
        <w:autoSpaceDE/>
        <w:autoSpaceDN/>
        <w:spacing w:after="200"/>
        <w:ind w:left="2520" w:right="0" w:hanging="1080"/>
        <w:jc w:val="both"/>
      </w:pPr>
      <w:r>
        <w:t xml:space="preserve">2.1.2.8. </w:t>
      </w:r>
      <w:r>
        <w:tab/>
      </w:r>
      <w:r w:rsidR="0076327D" w:rsidRPr="00307B8B">
        <w:t xml:space="preserve">All systems, including but not limited to, the core processing platform, imaging, telephone systems and Program websites, must be available and functioning 99.5% of the time per month during 8:00 a.m. – 9:00 p.m. ET (Monday - Friday, not including New York Stock Exchange holidays or scheduled downtime). </w:t>
      </w:r>
    </w:p>
    <w:p w14:paraId="5465FD75" w14:textId="3E39032D" w:rsidR="0076327D" w:rsidRPr="00942FEC" w:rsidRDefault="00926A09" w:rsidP="00926A09">
      <w:pPr>
        <w:pStyle w:val="ListParagraph"/>
        <w:widowControl/>
        <w:autoSpaceDE/>
        <w:autoSpaceDN/>
        <w:spacing w:after="200"/>
        <w:ind w:left="2520" w:right="0" w:hanging="1080"/>
        <w:jc w:val="both"/>
      </w:pPr>
      <w:r>
        <w:t xml:space="preserve">2.1.2.9. </w:t>
      </w:r>
      <w:r>
        <w:tab/>
      </w:r>
      <w:r w:rsidR="0076327D" w:rsidRPr="00942FEC">
        <w:t xml:space="preserve">Scheduled system outages </w:t>
      </w:r>
      <w:r w:rsidR="0076327D">
        <w:t>must</w:t>
      </w:r>
      <w:r w:rsidR="0076327D" w:rsidRPr="00942FEC">
        <w:t xml:space="preserve"> be communicated to the Program four </w:t>
      </w:r>
      <w:r w:rsidR="0076327D">
        <w:t xml:space="preserve">(4) </w:t>
      </w:r>
      <w:r w:rsidR="0076327D" w:rsidRPr="00942FEC">
        <w:t xml:space="preserve">weeks in advance of the outage. Notification will also be posted on the Program website. Scheduled system outages will occur only after 12:00 a.m. and before 8:00 a.m. ET on weekends. In addition, Program </w:t>
      </w:r>
      <w:r w:rsidR="0076327D">
        <w:t xml:space="preserve">personnel </w:t>
      </w:r>
      <w:r w:rsidR="0076327D" w:rsidRPr="00942FEC">
        <w:t>must be promptly notified of unplanned system outages or service disruptions as they are identified, with Program website notification posted as soon as possible.</w:t>
      </w:r>
    </w:p>
    <w:p w14:paraId="67B945A5" w14:textId="471BFE74" w:rsidR="0076327D" w:rsidRPr="00942FEC" w:rsidRDefault="00926A09" w:rsidP="00926A09">
      <w:pPr>
        <w:pStyle w:val="ListParagraph"/>
        <w:widowControl/>
        <w:autoSpaceDE/>
        <w:autoSpaceDN/>
        <w:spacing w:after="200"/>
        <w:ind w:left="2520" w:right="0" w:hanging="1080"/>
        <w:jc w:val="both"/>
        <w:rPr>
          <w:lang w:eastAsia="x-none"/>
        </w:rPr>
      </w:pPr>
      <w:r>
        <w:t xml:space="preserve">2.1.2.10. </w:t>
      </w:r>
      <w:r>
        <w:tab/>
      </w:r>
      <w:r w:rsidR="0076327D" w:rsidRPr="00942FEC">
        <w:t>Generate and distribute Roth IRA confirmation and account statements at least quarterly and an annual statement with the fair market value as of December 31 by U.S. postal service or, at a participant’s option, electronically, in accordance with applicable federal and state laws.</w:t>
      </w:r>
    </w:p>
    <w:p w14:paraId="49B1CA78" w14:textId="038E04B7" w:rsidR="0076327D" w:rsidRPr="00942FEC" w:rsidRDefault="00926A09" w:rsidP="00926A09">
      <w:pPr>
        <w:pStyle w:val="ListParagraph"/>
        <w:widowControl/>
        <w:autoSpaceDE/>
        <w:autoSpaceDN/>
        <w:spacing w:after="200"/>
        <w:ind w:left="2520" w:right="0" w:hanging="1080"/>
        <w:jc w:val="both"/>
      </w:pPr>
      <w:r>
        <w:t xml:space="preserve">2.1.2.11. </w:t>
      </w:r>
      <w:r>
        <w:tab/>
      </w:r>
      <w:r w:rsidR="0076327D" w:rsidRPr="00942FEC">
        <w:t xml:space="preserve">Generate and distribute IRS Forms (e.g., </w:t>
      </w:r>
      <w:r w:rsidR="0076327D">
        <w:t xml:space="preserve">Forms </w:t>
      </w:r>
      <w:r w:rsidR="0076327D" w:rsidRPr="00942FEC">
        <w:t>1099-R and 5498)</w:t>
      </w:r>
      <w:r w:rsidR="0076327D">
        <w:t xml:space="preserve"> in accordance with Applicable Law</w:t>
      </w:r>
      <w:r w:rsidR="0076327D" w:rsidRPr="00942FEC">
        <w:t xml:space="preserve">. </w:t>
      </w:r>
    </w:p>
    <w:p w14:paraId="44B13D47" w14:textId="3D868781" w:rsidR="0076327D" w:rsidRPr="00307B8B" w:rsidRDefault="00926A09" w:rsidP="00926A09">
      <w:pPr>
        <w:pStyle w:val="AKFSubsub"/>
        <w:numPr>
          <w:ilvl w:val="0"/>
          <w:numId w:val="0"/>
        </w:numPr>
        <w:spacing w:line="240" w:lineRule="auto"/>
        <w:ind w:left="1440" w:hanging="720"/>
        <w:rPr>
          <w:rFonts w:ascii="Arial" w:hAnsi="Arial" w:cs="Arial"/>
          <w:u w:val="none"/>
        </w:rPr>
      </w:pPr>
      <w:bookmarkStart w:id="98" w:name="_Toc122353519"/>
      <w:bookmarkStart w:id="99" w:name="_Toc122360119"/>
      <w:bookmarkStart w:id="100" w:name="_Toc134778223"/>
      <w:r>
        <w:rPr>
          <w:rFonts w:ascii="Arial" w:hAnsi="Arial" w:cs="Arial"/>
          <w:u w:val="none"/>
        </w:rPr>
        <w:t xml:space="preserve">2.1.3. </w:t>
      </w:r>
      <w:r>
        <w:rPr>
          <w:rFonts w:ascii="Arial" w:hAnsi="Arial" w:cs="Arial"/>
          <w:u w:val="none"/>
        </w:rPr>
        <w:tab/>
      </w:r>
      <w:r w:rsidR="0076327D" w:rsidRPr="00307B8B">
        <w:rPr>
          <w:rFonts w:ascii="Arial" w:hAnsi="Arial" w:cs="Arial"/>
          <w:u w:val="none"/>
        </w:rPr>
        <w:t>Customer Service</w:t>
      </w:r>
      <w:bookmarkEnd w:id="98"/>
      <w:bookmarkEnd w:id="99"/>
      <w:bookmarkEnd w:id="100"/>
      <w:r w:rsidR="0076327D" w:rsidRPr="00307B8B">
        <w:rPr>
          <w:rFonts w:ascii="Arial" w:hAnsi="Arial" w:cs="Arial"/>
          <w:u w:val="none"/>
        </w:rPr>
        <w:t xml:space="preserve"> </w:t>
      </w:r>
    </w:p>
    <w:p w14:paraId="5E88A4E8" w14:textId="77777777" w:rsidR="0076327D" w:rsidRPr="00942FEC" w:rsidRDefault="0076327D" w:rsidP="0076327D">
      <w:pPr>
        <w:spacing w:before="60" w:line="240" w:lineRule="auto"/>
        <w:ind w:left="1440"/>
        <w:jc w:val="both"/>
      </w:pPr>
      <w:bookmarkStart w:id="101" w:name="_Hlk128130906"/>
      <w:r w:rsidRPr="00942FEC">
        <w:t xml:space="preserve">Throughout the term of the Agreement, </w:t>
      </w:r>
      <w:r w:rsidRPr="00FB75DB">
        <w:t>the PA Services Contractor(s) must</w:t>
      </w:r>
      <w:r w:rsidRPr="00942FEC">
        <w:t xml:space="preserve"> provide the following Customer Service services for the Program, all within CONUS and in compliance with </w:t>
      </w:r>
      <w:r>
        <w:t xml:space="preserve">Applicable Law and </w:t>
      </w:r>
      <w:r w:rsidRPr="00942FEC">
        <w:t>the Act:</w:t>
      </w:r>
    </w:p>
    <w:bookmarkEnd w:id="101"/>
    <w:p w14:paraId="3B2B4980" w14:textId="77777777" w:rsidR="0076327D" w:rsidRPr="00942FEC" w:rsidRDefault="0076327D" w:rsidP="0076327D">
      <w:pPr>
        <w:pStyle w:val="ListParagraph"/>
        <w:widowControl/>
        <w:numPr>
          <w:ilvl w:val="2"/>
          <w:numId w:val="14"/>
        </w:numPr>
        <w:autoSpaceDE/>
        <w:autoSpaceDN/>
        <w:spacing w:after="200"/>
        <w:ind w:right="0"/>
        <w:jc w:val="both"/>
        <w:rPr>
          <w:vanish/>
        </w:rPr>
      </w:pPr>
    </w:p>
    <w:p w14:paraId="06AF7896" w14:textId="13F99293" w:rsidR="0076327D" w:rsidRPr="00926A09" w:rsidRDefault="00926A09" w:rsidP="00926A09">
      <w:pPr>
        <w:pStyle w:val="ListParagraph"/>
        <w:widowControl/>
        <w:autoSpaceDE/>
        <w:autoSpaceDN/>
        <w:spacing w:after="200"/>
        <w:ind w:left="2520" w:right="0" w:hanging="1080"/>
        <w:jc w:val="both"/>
        <w:rPr>
          <w:lang w:eastAsia="x-none"/>
        </w:rPr>
      </w:pPr>
      <w:r>
        <w:rPr>
          <w:lang w:eastAsia="x-none"/>
        </w:rPr>
        <w:t xml:space="preserve">2.1.3.1. </w:t>
      </w:r>
      <w:r>
        <w:rPr>
          <w:lang w:eastAsia="x-none"/>
        </w:rPr>
        <w:tab/>
      </w:r>
      <w:r w:rsidR="0076327D" w:rsidRPr="00942FEC">
        <w:t>Provide</w:t>
      </w:r>
      <w:r w:rsidR="0076327D" w:rsidRPr="00942FEC">
        <w:rPr>
          <w:lang w:eastAsia="x-none"/>
        </w:rPr>
        <w:t xml:space="preserve"> the following services </w:t>
      </w:r>
      <w:r w:rsidR="0076327D" w:rsidRPr="00926A09">
        <w:rPr>
          <w:lang w:eastAsia="x-none"/>
        </w:rPr>
        <w:t>for the Program:</w:t>
      </w:r>
    </w:p>
    <w:p w14:paraId="14B1D81B" w14:textId="77777777" w:rsidR="0076327D" w:rsidRPr="00926A09" w:rsidRDefault="0076327D" w:rsidP="0076327D">
      <w:pPr>
        <w:pStyle w:val="ListParagraph"/>
        <w:widowControl/>
        <w:numPr>
          <w:ilvl w:val="0"/>
          <w:numId w:val="13"/>
        </w:numPr>
        <w:autoSpaceDE/>
        <w:autoSpaceDN/>
        <w:spacing w:after="60"/>
        <w:ind w:left="3420" w:right="0"/>
      </w:pPr>
      <w:r w:rsidRPr="00926A09">
        <w:t>Call center services available via a dedicated toll-free telephone number.</w:t>
      </w:r>
    </w:p>
    <w:p w14:paraId="05BC2D79" w14:textId="65F861D7" w:rsidR="0076327D" w:rsidRPr="00926A09" w:rsidRDefault="0076327D" w:rsidP="0076327D">
      <w:pPr>
        <w:pStyle w:val="ListParagraph"/>
        <w:widowControl/>
        <w:numPr>
          <w:ilvl w:val="0"/>
          <w:numId w:val="13"/>
        </w:numPr>
        <w:autoSpaceDE/>
        <w:autoSpaceDN/>
        <w:spacing w:after="60"/>
        <w:ind w:left="3420" w:right="0"/>
      </w:pPr>
      <w:r w:rsidRPr="00926A09">
        <w:t xml:space="preserve">Staffed with live representatives and available </w:t>
      </w:r>
      <w:r w:rsidR="00701558" w:rsidRPr="00701558">
        <w:rPr>
          <w:color w:val="0070C0"/>
          <w:u w:val="single"/>
        </w:rPr>
        <w:t xml:space="preserve">for a minimum of </w:t>
      </w:r>
      <w:r w:rsidR="00DA15B6">
        <w:rPr>
          <w:color w:val="0070C0"/>
          <w:u w:val="single"/>
        </w:rPr>
        <w:t>ten</w:t>
      </w:r>
      <w:r w:rsidR="00701558" w:rsidRPr="00701558">
        <w:rPr>
          <w:color w:val="0070C0"/>
          <w:u w:val="single"/>
        </w:rPr>
        <w:t xml:space="preserve"> (</w:t>
      </w:r>
      <w:r w:rsidR="00DA15B6">
        <w:rPr>
          <w:color w:val="0070C0"/>
          <w:u w:val="single"/>
        </w:rPr>
        <w:t>10</w:t>
      </w:r>
      <w:r w:rsidR="00701558" w:rsidRPr="00701558">
        <w:rPr>
          <w:color w:val="0070C0"/>
          <w:u w:val="single"/>
        </w:rPr>
        <w:t>) hours between</w:t>
      </w:r>
      <w:r w:rsidR="00701558" w:rsidRPr="00701558">
        <w:rPr>
          <w:color w:val="0070C0"/>
        </w:rPr>
        <w:t xml:space="preserve"> </w:t>
      </w:r>
      <w:r w:rsidRPr="00701558">
        <w:rPr>
          <w:strike/>
          <w:color w:val="C00000"/>
        </w:rPr>
        <w:t>from at least</w:t>
      </w:r>
      <w:r w:rsidRPr="00701558">
        <w:rPr>
          <w:color w:val="C00000"/>
        </w:rPr>
        <w:t xml:space="preserve"> </w:t>
      </w:r>
      <w:r w:rsidRPr="00926A09">
        <w:t xml:space="preserve">8:00 a.m. </w:t>
      </w:r>
      <w:r w:rsidRPr="00701558">
        <w:rPr>
          <w:strike/>
          <w:color w:val="C00000"/>
        </w:rPr>
        <w:t>through</w:t>
      </w:r>
      <w:r w:rsidRPr="00926A09">
        <w:t xml:space="preserve"> </w:t>
      </w:r>
      <w:r w:rsidR="00701558" w:rsidRPr="00701558">
        <w:rPr>
          <w:color w:val="0070C0"/>
          <w:u w:val="single"/>
        </w:rPr>
        <w:t>and</w:t>
      </w:r>
      <w:r w:rsidR="00701558">
        <w:t xml:space="preserve"> </w:t>
      </w:r>
      <w:r w:rsidRPr="00926A09">
        <w:t xml:space="preserve">9:00 p.m. ET (Monday through Friday, not including New York Stock Exchange holidays). </w:t>
      </w:r>
      <w:r w:rsidR="00701558" w:rsidRPr="00701558">
        <w:rPr>
          <w:color w:val="0070C0"/>
          <w:u w:val="single"/>
        </w:rPr>
        <w:t xml:space="preserve">Must be available </w:t>
      </w:r>
      <w:r w:rsidR="00DA15B6">
        <w:rPr>
          <w:color w:val="0070C0"/>
          <w:u w:val="single"/>
        </w:rPr>
        <w:t>beginning no later than 9:00 a.m. ET</w:t>
      </w:r>
      <w:r w:rsidR="00701558" w:rsidRPr="00701558">
        <w:rPr>
          <w:color w:val="0070C0"/>
          <w:u w:val="single"/>
        </w:rPr>
        <w:t>.</w:t>
      </w:r>
    </w:p>
    <w:p w14:paraId="1F292E23" w14:textId="77777777" w:rsidR="0076327D" w:rsidRPr="00942FEC" w:rsidRDefault="0076327D" w:rsidP="0076327D">
      <w:pPr>
        <w:pStyle w:val="ListParagraph"/>
        <w:widowControl/>
        <w:numPr>
          <w:ilvl w:val="0"/>
          <w:numId w:val="13"/>
        </w:numPr>
        <w:autoSpaceDE/>
        <w:autoSpaceDN/>
        <w:spacing w:after="60"/>
        <w:ind w:left="3420" w:right="0"/>
      </w:pPr>
      <w:r w:rsidRPr="00942FEC">
        <w:t xml:space="preserve">Provide a voice messaging system for customer call backs during times that the call center is unavailable. </w:t>
      </w:r>
    </w:p>
    <w:p w14:paraId="09DBAA84" w14:textId="77777777" w:rsidR="0076327D" w:rsidRDefault="0076327D" w:rsidP="0076327D">
      <w:pPr>
        <w:rPr>
          <w:rFonts w:eastAsiaTheme="minorEastAsia"/>
        </w:rPr>
        <w:sectPr w:rsidR="0076327D" w:rsidSect="00BE08E0">
          <w:footerReference w:type="default" r:id="rId19"/>
          <w:type w:val="continuous"/>
          <w:pgSz w:w="12240" w:h="15840" w:code="1"/>
          <w:pgMar w:top="1440" w:right="1440" w:bottom="1170" w:left="1440" w:header="360" w:footer="360" w:gutter="0"/>
          <w:pgNumType w:start="29"/>
          <w:cols w:space="720"/>
          <w:docGrid w:linePitch="360"/>
        </w:sectPr>
      </w:pPr>
    </w:p>
    <w:p w14:paraId="3D0614C9" w14:textId="77777777" w:rsidR="008A2C43" w:rsidRPr="00E54228" w:rsidRDefault="008A2C43" w:rsidP="009C6B24">
      <w:pPr>
        <w:pStyle w:val="ListParagraph"/>
        <w:widowControl/>
        <w:autoSpaceDE/>
        <w:autoSpaceDN/>
        <w:spacing w:after="60"/>
        <w:ind w:left="2491" w:right="0" w:firstLine="0"/>
        <w:rPr>
          <w:lang w:eastAsia="x-none"/>
        </w:rPr>
      </w:pPr>
      <w:r w:rsidRPr="00942FEC">
        <w:lastRenderedPageBreak/>
        <w:t xml:space="preserve">have the ability </w:t>
      </w:r>
      <w:r w:rsidRPr="00E54228">
        <w:t xml:space="preserve">to match or beat the respective benchmarks over a full market cycle.  </w:t>
      </w:r>
    </w:p>
    <w:p w14:paraId="2D5839B7" w14:textId="77777777" w:rsidR="008A2C43" w:rsidRDefault="008A2C43" w:rsidP="008A2C43">
      <w:pPr>
        <w:pStyle w:val="ListParagraph"/>
        <w:widowControl/>
        <w:numPr>
          <w:ilvl w:val="0"/>
          <w:numId w:val="22"/>
        </w:numPr>
        <w:autoSpaceDE/>
        <w:autoSpaceDN/>
        <w:spacing w:after="60"/>
        <w:ind w:left="2491" w:right="0"/>
      </w:pPr>
      <w:r w:rsidRPr="00E54228">
        <w:t>IM Services Contractor(s)</w:t>
      </w:r>
      <w:r>
        <w:t xml:space="preserve"> must i</w:t>
      </w:r>
      <w:r w:rsidRPr="00942FEC">
        <w:t xml:space="preserve">nform the Program, within three business days, about significant matters pertaining to the investment of the Program </w:t>
      </w:r>
      <w:r>
        <w:t>a</w:t>
      </w:r>
      <w:r w:rsidRPr="00942FEC">
        <w:t>ssets, including, but not limited to changes in ownership, organizational structure, investment strategy, portfolio design, or configuration of the investment team.</w:t>
      </w:r>
    </w:p>
    <w:p w14:paraId="2CAADB07" w14:textId="77777777" w:rsidR="008A2C43" w:rsidRPr="001A00C4" w:rsidRDefault="008A2C43" w:rsidP="008A2C43">
      <w:pPr>
        <w:pStyle w:val="ListParagraph"/>
        <w:widowControl/>
        <w:numPr>
          <w:ilvl w:val="0"/>
          <w:numId w:val="22"/>
        </w:numPr>
        <w:autoSpaceDE/>
        <w:autoSpaceDN/>
        <w:spacing w:after="200"/>
        <w:ind w:left="2491" w:right="0"/>
      </w:pPr>
      <w:r w:rsidRPr="001A00C4">
        <w:t xml:space="preserve">IM Services Contractor(s) must engage as necessary </w:t>
      </w:r>
      <w:r w:rsidRPr="004B26CF">
        <w:t>and work</w:t>
      </w:r>
      <w:r w:rsidRPr="001A00C4">
        <w:t xml:space="preserve"> cooperatively with the  PA Services Contractor(s), who will provide custodial and banking services necessary to support the Program investment options. In the event of a dispute or conflict between or among the PA Services Contractor(s) and the IM Services Contractor(s), the IM Services Contractor will notify the Program.</w:t>
      </w:r>
    </w:p>
    <w:p w14:paraId="60CBB273" w14:textId="253836DA" w:rsidR="00926A09" w:rsidRPr="00CC2689" w:rsidRDefault="007A3451" w:rsidP="007A3451">
      <w:pPr>
        <w:pStyle w:val="ListParagraph"/>
        <w:widowControl/>
        <w:autoSpaceDE/>
        <w:autoSpaceDN/>
        <w:spacing w:after="120"/>
        <w:ind w:left="1440" w:right="0" w:hanging="720"/>
        <w:jc w:val="both"/>
        <w:rPr>
          <w:lang w:eastAsia="x-none"/>
        </w:rPr>
      </w:pPr>
      <w:r w:rsidRPr="007A3451">
        <w:rPr>
          <w:b/>
          <w:bCs/>
        </w:rPr>
        <w:t>2.2.2.</w:t>
      </w:r>
      <w:r>
        <w:t xml:space="preserve"> </w:t>
      </w:r>
      <w:r>
        <w:tab/>
      </w:r>
      <w:r w:rsidR="00926A09" w:rsidRPr="00CC2689">
        <w:t>Provide requested reports to assist the Program in the evaluation</w:t>
      </w:r>
      <w:r w:rsidR="00926A09">
        <w:t>s</w:t>
      </w:r>
      <w:r w:rsidR="00926A09" w:rsidRPr="00CC2689">
        <w:t xml:space="preserve"> </w:t>
      </w:r>
      <w:r w:rsidR="00926A09">
        <w:t xml:space="preserve">and audits </w:t>
      </w:r>
      <w:r w:rsidR="00926A09" w:rsidRPr="00CC2689">
        <w:t>of the investment products and the performance of the Program by providing information, including but not limited to</w:t>
      </w:r>
      <w:r w:rsidR="00926A09">
        <w:t>, the following</w:t>
      </w:r>
      <w:r w:rsidR="00926A09" w:rsidRPr="00CC2689">
        <w:t>:</w:t>
      </w:r>
    </w:p>
    <w:p w14:paraId="0189C6E3" w14:textId="77777777" w:rsidR="00926A09" w:rsidRPr="00942FEC" w:rsidRDefault="00926A09" w:rsidP="00926A09">
      <w:pPr>
        <w:pStyle w:val="ListParagraph"/>
        <w:widowControl/>
        <w:numPr>
          <w:ilvl w:val="0"/>
          <w:numId w:val="23"/>
        </w:numPr>
        <w:autoSpaceDE/>
        <w:autoSpaceDN/>
        <w:spacing w:after="60"/>
        <w:ind w:right="0"/>
      </w:pPr>
      <w:r w:rsidRPr="00942FEC">
        <w:t>Underlying investment prices over historical periods.</w:t>
      </w:r>
    </w:p>
    <w:p w14:paraId="1D9FB587" w14:textId="77777777" w:rsidR="00926A09" w:rsidRPr="00942FEC" w:rsidRDefault="00926A09" w:rsidP="00926A09">
      <w:pPr>
        <w:pStyle w:val="ListParagraph"/>
        <w:widowControl/>
        <w:numPr>
          <w:ilvl w:val="0"/>
          <w:numId w:val="23"/>
        </w:numPr>
        <w:autoSpaceDE/>
        <w:autoSpaceDN/>
        <w:spacing w:after="60"/>
        <w:ind w:right="0"/>
      </w:pPr>
      <w:r w:rsidRPr="00942FEC">
        <w:t>Underlying investment composition.</w:t>
      </w:r>
    </w:p>
    <w:p w14:paraId="1303C554" w14:textId="77777777" w:rsidR="00926A09" w:rsidRPr="00942FEC" w:rsidRDefault="00926A09" w:rsidP="00926A09">
      <w:pPr>
        <w:pStyle w:val="ListParagraph"/>
        <w:widowControl/>
        <w:numPr>
          <w:ilvl w:val="0"/>
          <w:numId w:val="23"/>
        </w:numPr>
        <w:autoSpaceDE/>
        <w:autoSpaceDN/>
        <w:spacing w:after="60"/>
        <w:ind w:right="0"/>
      </w:pPr>
      <w:r w:rsidRPr="00942FEC">
        <w:t xml:space="preserve">Underlying investment prospectus of each investment.  </w:t>
      </w:r>
    </w:p>
    <w:p w14:paraId="12B5D8DC" w14:textId="3C8DB6D2" w:rsidR="00926A09" w:rsidRPr="00942FEC" w:rsidRDefault="007A3451" w:rsidP="007A3451">
      <w:pPr>
        <w:pStyle w:val="ListParagraph"/>
        <w:widowControl/>
        <w:autoSpaceDE/>
        <w:autoSpaceDN/>
        <w:spacing w:before="200" w:after="200"/>
        <w:ind w:left="1440" w:right="0" w:hanging="720"/>
        <w:jc w:val="both"/>
        <w:rPr>
          <w:lang w:eastAsia="x-none"/>
        </w:rPr>
      </w:pPr>
      <w:r w:rsidRPr="007A3451">
        <w:rPr>
          <w:b/>
          <w:bCs/>
        </w:rPr>
        <w:t>2.2.3.</w:t>
      </w:r>
      <w:r>
        <w:t xml:space="preserve"> </w:t>
      </w:r>
      <w:r>
        <w:tab/>
      </w:r>
      <w:r w:rsidR="00926A09" w:rsidRPr="00942FEC">
        <w:t>Maintain prudent risk controls regarding operations risk management, trading risk management and compliance monitoring</w:t>
      </w:r>
      <w:r w:rsidR="00926A09">
        <w:t>. Upon request, provide the State with records concerning such controls</w:t>
      </w:r>
      <w:r w:rsidR="00926A09" w:rsidRPr="00942FEC">
        <w:t>.</w:t>
      </w:r>
    </w:p>
    <w:p w14:paraId="654D27A1" w14:textId="1C84956C" w:rsidR="00926A09" w:rsidRPr="00942FEC" w:rsidRDefault="007A3451" w:rsidP="007A3451">
      <w:pPr>
        <w:pStyle w:val="ListParagraph"/>
        <w:widowControl/>
        <w:autoSpaceDE/>
        <w:autoSpaceDN/>
        <w:spacing w:before="200" w:after="200"/>
        <w:ind w:left="1440" w:right="0" w:hanging="720"/>
        <w:jc w:val="both"/>
      </w:pPr>
      <w:r w:rsidRPr="007A3451">
        <w:rPr>
          <w:b/>
          <w:bCs/>
        </w:rPr>
        <w:t>2.2.4.</w:t>
      </w:r>
      <w:r>
        <w:t xml:space="preserve"> </w:t>
      </w:r>
      <w:r>
        <w:tab/>
      </w:r>
      <w:r w:rsidR="00926A09" w:rsidRPr="00942FEC">
        <w:t xml:space="preserve">Designate a dedicated key person who will notify the Program of </w:t>
      </w:r>
      <w:r w:rsidR="00926A09" w:rsidRPr="00CC2689">
        <w:t>any changes to the management or composition of the investment team.</w:t>
      </w:r>
    </w:p>
    <w:p w14:paraId="5BF63A6B" w14:textId="70E01A16" w:rsidR="00926A09" w:rsidRPr="00942FEC" w:rsidRDefault="007A3451" w:rsidP="007A3451">
      <w:pPr>
        <w:pStyle w:val="ListParagraph"/>
        <w:widowControl/>
        <w:autoSpaceDE/>
        <w:autoSpaceDN/>
        <w:spacing w:before="200" w:after="200"/>
        <w:ind w:left="1440" w:right="0" w:hanging="720"/>
        <w:jc w:val="both"/>
        <w:rPr>
          <w:lang w:eastAsia="x-none"/>
        </w:rPr>
      </w:pPr>
      <w:r w:rsidRPr="007A3451">
        <w:rPr>
          <w:b/>
          <w:bCs/>
        </w:rPr>
        <w:t>2.2.5.</w:t>
      </w:r>
      <w:r>
        <w:t xml:space="preserve"> </w:t>
      </w:r>
      <w:r>
        <w:tab/>
      </w:r>
      <w:r w:rsidR="00926A09" w:rsidRPr="00942FEC">
        <w:t>Respond to requests for telephone consultation within a 24-hour period and be available to the Program between the hours of 8:00 a.m. – 5:00 p.m. ET (Monday through Friday, not including New York Stock Exchange holidays).</w:t>
      </w:r>
    </w:p>
    <w:p w14:paraId="102C04D3" w14:textId="6950BD0A" w:rsidR="00926A09" w:rsidRDefault="007A3451" w:rsidP="007A3451">
      <w:pPr>
        <w:pStyle w:val="ListParagraph"/>
        <w:widowControl/>
        <w:autoSpaceDE/>
        <w:autoSpaceDN/>
        <w:spacing w:before="200" w:after="200"/>
        <w:ind w:left="1440" w:right="0" w:hanging="720"/>
        <w:jc w:val="both"/>
      </w:pPr>
      <w:r w:rsidRPr="007A3451">
        <w:rPr>
          <w:b/>
          <w:bCs/>
        </w:rPr>
        <w:t>2.2.6.</w:t>
      </w:r>
      <w:r>
        <w:t xml:space="preserve"> </w:t>
      </w:r>
      <w:r>
        <w:tab/>
      </w:r>
      <w:r w:rsidR="00926A09" w:rsidRPr="00942FEC">
        <w:t>Attend</w:t>
      </w:r>
      <w:r w:rsidR="00926A09" w:rsidRPr="00942FEC">
        <w:rPr>
          <w:lang w:eastAsia="x-none"/>
        </w:rPr>
        <w:t xml:space="preserve"> at least one Board meeting annually commencing with </w:t>
      </w:r>
      <w:r w:rsidR="00926A09">
        <w:rPr>
          <w:lang w:eastAsia="x-none"/>
        </w:rPr>
        <w:t>OSC approval</w:t>
      </w:r>
      <w:r w:rsidR="00926A09" w:rsidRPr="00942FEC">
        <w:rPr>
          <w:lang w:eastAsia="x-none"/>
        </w:rPr>
        <w:t xml:space="preserve"> of the Agreement, unless otherwise directed by the Program.</w:t>
      </w:r>
    </w:p>
    <w:p w14:paraId="03C1BFFD" w14:textId="193D1476" w:rsidR="00926A09" w:rsidRPr="009662F4" w:rsidRDefault="007A3451" w:rsidP="007A3451">
      <w:pPr>
        <w:pStyle w:val="ListParagraph"/>
        <w:widowControl/>
        <w:autoSpaceDE/>
        <w:autoSpaceDN/>
        <w:spacing w:before="200" w:after="200"/>
        <w:ind w:left="1440" w:right="0" w:hanging="720"/>
        <w:jc w:val="both"/>
        <w:rPr>
          <w:rFonts w:eastAsia="Calibri"/>
        </w:rPr>
      </w:pPr>
      <w:r w:rsidRPr="007A3451">
        <w:rPr>
          <w:rFonts w:eastAsia="Calibri"/>
          <w:b/>
          <w:bCs/>
        </w:rPr>
        <w:t>2.2.7.</w:t>
      </w:r>
      <w:r>
        <w:rPr>
          <w:rFonts w:eastAsia="Calibri"/>
        </w:rPr>
        <w:t xml:space="preserve"> </w:t>
      </w:r>
      <w:r>
        <w:rPr>
          <w:rFonts w:eastAsia="Calibri"/>
        </w:rPr>
        <w:tab/>
      </w:r>
      <w:r w:rsidR="00926A09" w:rsidRPr="009662F4">
        <w:rPr>
          <w:rFonts w:eastAsia="Calibri"/>
        </w:rPr>
        <w:t xml:space="preserve">Maintain insurance coverage for the nature and scope of </w:t>
      </w:r>
      <w:r w:rsidR="00926A09">
        <w:rPr>
          <w:rFonts w:eastAsia="Calibri"/>
        </w:rPr>
        <w:t xml:space="preserve">IM </w:t>
      </w:r>
      <w:r w:rsidR="00926A09" w:rsidRPr="009662F4">
        <w:rPr>
          <w:rFonts w:eastAsia="Calibri"/>
        </w:rPr>
        <w:t xml:space="preserve">Services and assets </w:t>
      </w:r>
      <w:r w:rsidR="00926A09" w:rsidRPr="007A3451">
        <w:t>under</w:t>
      </w:r>
      <w:r w:rsidR="00926A09" w:rsidRPr="009662F4">
        <w:rPr>
          <w:rFonts w:eastAsia="Calibri"/>
        </w:rPr>
        <w:t xml:space="preserve"> management.</w:t>
      </w:r>
      <w:r w:rsidR="00926A09" w:rsidRPr="001430EF">
        <w:rPr>
          <w:rFonts w:eastAsia="Calibri"/>
          <w:strike/>
          <w:color w:val="C00000"/>
        </w:rPr>
        <w:t xml:space="preserve"> These shoul</w:t>
      </w:r>
      <w:r w:rsidR="00926A09" w:rsidRPr="007A3451">
        <w:rPr>
          <w:rFonts w:eastAsia="Calibri"/>
          <w:strike/>
          <w:color w:val="C00000"/>
        </w:rPr>
        <w:t>d</w:t>
      </w:r>
      <w:r w:rsidR="00926A09" w:rsidRPr="007A3451">
        <w:rPr>
          <w:rFonts w:eastAsia="Calibri"/>
          <w:color w:val="C00000"/>
        </w:rPr>
        <w:t xml:space="preserve"> </w:t>
      </w:r>
      <w:r w:rsidR="001430EF" w:rsidRPr="001430EF">
        <w:rPr>
          <w:rFonts w:eastAsia="Calibri"/>
          <w:color w:val="2E74B5" w:themeColor="accent5" w:themeShade="BF"/>
          <w:u w:val="single"/>
        </w:rPr>
        <w:t xml:space="preserve">The Program anticipates these will likely </w:t>
      </w:r>
      <w:r w:rsidR="00926A09" w:rsidRPr="009662F4">
        <w:rPr>
          <w:rFonts w:eastAsia="Calibri"/>
        </w:rPr>
        <w:t>include, but need not be limited to:</w:t>
      </w:r>
      <w:r w:rsidR="00926A09">
        <w:rPr>
          <w:rFonts w:eastAsia="Calibri"/>
        </w:rPr>
        <w:t xml:space="preserve"> </w:t>
      </w:r>
      <w:r w:rsidR="00926A09" w:rsidRPr="00923F59">
        <w:rPr>
          <w:rFonts w:eastAsia="Calibri"/>
        </w:rPr>
        <w:t xml:space="preserve">Professional Liability </w:t>
      </w:r>
      <w:r w:rsidR="00926A09" w:rsidRPr="009662F4">
        <w:rPr>
          <w:rFonts w:eastAsia="Calibri"/>
        </w:rPr>
        <w:t xml:space="preserve">Errors &amp; Omissions; Blanket Bond Coverage plus Computer Crime (covering Employee Dishonesty); Commercial General Liability; Data Breach and Privacy/Cyber Liability; Umbrella. Where it may be provided, </w:t>
      </w:r>
      <w:r w:rsidR="00926A09">
        <w:rPr>
          <w:rFonts w:eastAsia="Calibri"/>
        </w:rPr>
        <w:t>the</w:t>
      </w:r>
      <w:r w:rsidR="00926A09" w:rsidRPr="009662F4">
        <w:rPr>
          <w:rFonts w:eastAsia="Calibri"/>
        </w:rPr>
        <w:t xml:space="preserve"> insurance coverage </w:t>
      </w:r>
      <w:r w:rsidR="00926A09">
        <w:rPr>
          <w:rFonts w:eastAsia="Calibri"/>
        </w:rPr>
        <w:t>will</w:t>
      </w:r>
      <w:r w:rsidR="00926A09" w:rsidRPr="009662F4">
        <w:rPr>
          <w:rFonts w:eastAsia="Calibri"/>
        </w:rPr>
        <w:t xml:space="preserve"> be extended to cover the Board and the State as named “Additional Insureds”.</w:t>
      </w:r>
    </w:p>
    <w:p w14:paraId="1DB9AC7C" w14:textId="77777777" w:rsidR="001430EF" w:rsidRDefault="007A3451" w:rsidP="009C6B24">
      <w:pPr>
        <w:pStyle w:val="ListParagraph"/>
        <w:widowControl/>
        <w:autoSpaceDE/>
        <w:autoSpaceDN/>
        <w:spacing w:before="200" w:after="200"/>
        <w:ind w:left="1440" w:right="0" w:hanging="720"/>
        <w:jc w:val="both"/>
      </w:pPr>
      <w:r w:rsidRPr="007A3451">
        <w:rPr>
          <w:b/>
          <w:bCs/>
        </w:rPr>
        <w:t>2.2.8.</w:t>
      </w:r>
      <w:r>
        <w:t xml:space="preserve"> </w:t>
      </w:r>
      <w:r>
        <w:tab/>
      </w:r>
      <w:r w:rsidR="00926A09" w:rsidRPr="00E54228">
        <w:t>The IM Services Contractor(s) must be a financially stable entity, such that it may initiate and perform all obligations through the duration of the Agreement. The State will conduct a</w:t>
      </w:r>
      <w:r w:rsidR="00926A09">
        <w:t xml:space="preserve"> financial stability</w:t>
      </w:r>
      <w:r w:rsidR="00926A09" w:rsidRPr="00E54228">
        <w:t xml:space="preserve"> evaluation o</w:t>
      </w:r>
      <w:r w:rsidR="00926A09">
        <w:t>n</w:t>
      </w:r>
      <w:r w:rsidR="00926A09" w:rsidRPr="00E54228">
        <w:t xml:space="preserve"> the highest-ranked Bidder. The evaluation will include, but not be limited to, a review of the entity’s equity position, liquidity, profitability trends, and prospects</w:t>
      </w:r>
      <w:r w:rsidR="00926A09" w:rsidRPr="00A47D89">
        <w:t xml:space="preserve"> for financial growth. The financial stability evaluation will also include a business background review of the entity’s</w:t>
      </w:r>
      <w:r w:rsidR="009C6B24">
        <w:t xml:space="preserve"> </w:t>
      </w:r>
    </w:p>
    <w:p w14:paraId="5D7B661A" w14:textId="77777777" w:rsidR="009C6B24" w:rsidRDefault="009C6B24" w:rsidP="009C6B24">
      <w:pPr>
        <w:pStyle w:val="ListParagraph"/>
        <w:widowControl/>
        <w:autoSpaceDE/>
        <w:autoSpaceDN/>
        <w:spacing w:before="200" w:after="200"/>
        <w:ind w:left="1440" w:right="0" w:hanging="720"/>
        <w:jc w:val="both"/>
      </w:pPr>
    </w:p>
    <w:p w14:paraId="3F89178C" w14:textId="771AE2CA" w:rsidR="009C6B24" w:rsidRDefault="009C6B24" w:rsidP="009C6B24">
      <w:pPr>
        <w:pStyle w:val="ListParagraph"/>
        <w:widowControl/>
        <w:autoSpaceDE/>
        <w:autoSpaceDN/>
        <w:spacing w:before="200" w:after="200"/>
        <w:ind w:left="1440" w:right="0" w:hanging="720"/>
        <w:jc w:val="both"/>
        <w:sectPr w:rsidR="009C6B24" w:rsidSect="00BE08E0">
          <w:footerReference w:type="default" r:id="rId20"/>
          <w:type w:val="continuous"/>
          <w:pgSz w:w="12240" w:h="15840" w:code="1"/>
          <w:pgMar w:top="1440" w:right="1440" w:bottom="1440" w:left="1440" w:header="360" w:footer="360" w:gutter="0"/>
          <w:cols w:space="720"/>
          <w:docGrid w:linePitch="360"/>
        </w:sectPr>
      </w:pPr>
    </w:p>
    <w:p w14:paraId="4974A97F" w14:textId="24D754F0" w:rsidR="001430EF" w:rsidRPr="001430EF" w:rsidRDefault="001430EF" w:rsidP="001430EF">
      <w:pPr>
        <w:spacing w:after="200" w:line="240" w:lineRule="auto"/>
        <w:ind w:left="2520" w:hanging="1080"/>
        <w:jc w:val="both"/>
        <w:textAlignment w:val="baseline"/>
        <w:rPr>
          <w:rFonts w:eastAsia="Times New Roman"/>
          <w:b/>
          <w:bCs/>
          <w:lang w:eastAsia="zh-CN"/>
        </w:rPr>
      </w:pPr>
      <w:r>
        <w:rPr>
          <w:rStyle w:val="normaltextrun"/>
        </w:rPr>
        <w:lastRenderedPageBreak/>
        <w:t xml:space="preserve">4.3.3.3. </w:t>
      </w:r>
      <w:r>
        <w:rPr>
          <w:rStyle w:val="normaltextrun"/>
        </w:rPr>
        <w:tab/>
        <w:t xml:space="preserve">Bidder should </w:t>
      </w:r>
      <w:r w:rsidRPr="001430EF">
        <w:rPr>
          <w:rFonts w:eastAsia="Times New Roman"/>
          <w:lang w:eastAsia="zh-CN"/>
        </w:rPr>
        <w:t>state whether there is any tactical approach used by the Bidder’s target date team. If so, discuss any bands within asset and sub asset class levels. State what frequency tactical changes may be made.</w:t>
      </w:r>
      <w:r w:rsidRPr="001430EF">
        <w:rPr>
          <w:rFonts w:eastAsia="Times New Roman"/>
          <w:b/>
          <w:bCs/>
          <w:lang w:eastAsia="zh-CN"/>
        </w:rPr>
        <w:t> </w:t>
      </w:r>
    </w:p>
    <w:p w14:paraId="1B975BE2" w14:textId="5119ABEC" w:rsidR="001430EF" w:rsidRPr="00942FEC" w:rsidRDefault="001430EF" w:rsidP="001430EF">
      <w:pPr>
        <w:spacing w:after="200" w:line="240" w:lineRule="auto"/>
        <w:ind w:left="2520" w:hanging="1080"/>
        <w:jc w:val="both"/>
        <w:textAlignment w:val="baseline"/>
        <w:rPr>
          <w:rFonts w:eastAsia="Times New Roman"/>
          <w:b/>
          <w:bCs/>
          <w:lang w:eastAsia="zh-CN"/>
        </w:rPr>
      </w:pPr>
      <w:r>
        <w:rPr>
          <w:rStyle w:val="normaltextrun"/>
        </w:rPr>
        <w:t xml:space="preserve">4.3.3.4. </w:t>
      </w:r>
      <w:r>
        <w:rPr>
          <w:rStyle w:val="normaltextrun"/>
        </w:rPr>
        <w:tab/>
      </w:r>
      <w:r w:rsidRPr="001430EF">
        <w:rPr>
          <w:rStyle w:val="normaltextrun"/>
        </w:rPr>
        <w:t>Over</w:t>
      </w:r>
      <w:r w:rsidRPr="00942FEC">
        <w:rPr>
          <w:rFonts w:eastAsia="Times New Roman"/>
          <w:lang w:eastAsia="zh-CN"/>
        </w:rPr>
        <w:t xml:space="preserve"> the past 3, 5, and 10 years </w:t>
      </w:r>
      <w:r w:rsidRPr="00281F9D">
        <w:rPr>
          <w:rFonts w:eastAsia="Times New Roman"/>
          <w:lang w:eastAsia="zh-CN"/>
        </w:rPr>
        <w:t>beginning January 1, 2013,</w:t>
      </w:r>
      <w:r w:rsidRPr="00942FEC">
        <w:rPr>
          <w:rFonts w:eastAsia="Times New Roman"/>
          <w:lang w:eastAsia="zh-CN"/>
        </w:rPr>
        <w:t xml:space="preserve"> </w:t>
      </w:r>
      <w:r w:rsidRPr="00281F9D">
        <w:rPr>
          <w:rFonts w:eastAsia="Times New Roman"/>
          <w:lang w:eastAsia="zh-CN"/>
        </w:rPr>
        <w:t xml:space="preserve">Bidder should </w:t>
      </w:r>
      <w:r w:rsidRPr="00942FEC">
        <w:rPr>
          <w:rFonts w:eastAsia="Times New Roman"/>
          <w:lang w:eastAsia="zh-CN"/>
        </w:rPr>
        <w:t>highlight what percentage of the Bidder’s returns have been driven by asset allocation, manager selection, and other factors.</w:t>
      </w:r>
      <w:r w:rsidRPr="00942FEC">
        <w:rPr>
          <w:rFonts w:eastAsia="Times New Roman"/>
          <w:b/>
          <w:bCs/>
          <w:lang w:eastAsia="zh-CN"/>
        </w:rPr>
        <w:t> </w:t>
      </w:r>
    </w:p>
    <w:p w14:paraId="18ACB26A" w14:textId="1B33F81D" w:rsidR="001430EF" w:rsidRPr="001430EF" w:rsidRDefault="001430EF" w:rsidP="001430EF">
      <w:pPr>
        <w:spacing w:after="200" w:line="240" w:lineRule="auto"/>
        <w:ind w:left="2520" w:hanging="1080"/>
        <w:jc w:val="both"/>
        <w:textAlignment w:val="baseline"/>
        <w:rPr>
          <w:rFonts w:eastAsia="Times New Roman"/>
          <w:lang w:eastAsia="zh-CN"/>
        </w:rPr>
      </w:pPr>
      <w:r>
        <w:rPr>
          <w:rFonts w:eastAsia="Times New Roman"/>
          <w:lang w:eastAsia="zh-CN"/>
        </w:rPr>
        <w:t xml:space="preserve">4.3.3.5. </w:t>
      </w:r>
      <w:r>
        <w:rPr>
          <w:rFonts w:eastAsia="Times New Roman"/>
          <w:lang w:eastAsia="zh-CN"/>
        </w:rPr>
        <w:tab/>
      </w:r>
      <w:r w:rsidRPr="001430EF">
        <w:rPr>
          <w:rFonts w:eastAsia="Times New Roman"/>
          <w:lang w:eastAsia="zh-CN"/>
        </w:rPr>
        <w:t xml:space="preserve">Bidder should </w:t>
      </w:r>
      <w:r>
        <w:rPr>
          <w:rFonts w:eastAsia="Times New Roman"/>
          <w:lang w:eastAsia="zh-CN"/>
        </w:rPr>
        <w:t>s</w:t>
      </w:r>
      <w:r w:rsidRPr="00942FEC">
        <w:rPr>
          <w:rFonts w:eastAsia="Times New Roman"/>
          <w:lang w:eastAsia="zh-CN"/>
        </w:rPr>
        <w:t>tate the Bidder’s view on the ‘to vs. through’</w:t>
      </w:r>
      <w:r w:rsidRPr="001430EF">
        <w:footnoteReference w:id="2"/>
      </w:r>
      <w:r w:rsidRPr="00942FEC">
        <w:rPr>
          <w:rFonts w:eastAsia="Times New Roman"/>
          <w:lang w:eastAsia="zh-CN"/>
        </w:rPr>
        <w:t xml:space="preserve"> debate. State whether the Bidder’s philosophy has changed over the past 5 years </w:t>
      </w:r>
      <w:r w:rsidRPr="00281F9D">
        <w:rPr>
          <w:rFonts w:eastAsia="Times New Roman"/>
          <w:lang w:eastAsia="zh-CN"/>
        </w:rPr>
        <w:t>beginning January 1, 2018</w:t>
      </w:r>
      <w:r w:rsidRPr="00942FEC">
        <w:rPr>
          <w:rFonts w:eastAsia="Times New Roman"/>
          <w:lang w:eastAsia="zh-CN"/>
        </w:rPr>
        <w:t>.</w:t>
      </w:r>
      <w:r w:rsidRPr="001430EF">
        <w:rPr>
          <w:rFonts w:eastAsia="Times New Roman"/>
          <w:lang w:eastAsia="zh-CN"/>
        </w:rPr>
        <w:t>  </w:t>
      </w:r>
    </w:p>
    <w:p w14:paraId="344540A9" w14:textId="35A912DC" w:rsidR="001430EF" w:rsidRPr="00E21237" w:rsidRDefault="001430EF" w:rsidP="001430EF">
      <w:pPr>
        <w:spacing w:after="200" w:line="240" w:lineRule="auto"/>
        <w:ind w:left="2520" w:hanging="1080"/>
        <w:jc w:val="both"/>
        <w:textAlignment w:val="baseline"/>
        <w:rPr>
          <w:rFonts w:eastAsia="Times New Roman"/>
          <w:b/>
          <w:bCs/>
          <w:lang w:eastAsia="zh-CN"/>
        </w:rPr>
      </w:pPr>
      <w:r>
        <w:rPr>
          <w:rFonts w:eastAsia="Times New Roman"/>
          <w:lang w:eastAsia="zh-CN"/>
        </w:rPr>
        <w:t>4.3.3.6.</w:t>
      </w:r>
      <w:r>
        <w:rPr>
          <w:rFonts w:eastAsia="Times New Roman"/>
          <w:lang w:eastAsia="zh-CN"/>
        </w:rPr>
        <w:tab/>
      </w:r>
      <w:r w:rsidRPr="001430EF">
        <w:rPr>
          <w:rFonts w:eastAsia="Times New Roman"/>
          <w:lang w:eastAsia="zh-CN"/>
        </w:rPr>
        <w:t xml:space="preserve">Bidder should </w:t>
      </w:r>
      <w:r>
        <w:rPr>
          <w:rFonts w:eastAsia="Times New Roman"/>
          <w:lang w:eastAsia="zh-CN"/>
        </w:rPr>
        <w:t>d</w:t>
      </w:r>
      <w:r w:rsidRPr="00942FEC">
        <w:rPr>
          <w:rFonts w:eastAsia="Times New Roman"/>
          <w:lang w:eastAsia="zh-CN"/>
        </w:rPr>
        <w:t>escribe any demographic or participant behavior assumptions used in the Bidder’s modeling that are specific to this Program.</w:t>
      </w:r>
      <w:r w:rsidRPr="00942FEC">
        <w:rPr>
          <w:rFonts w:eastAsia="Times New Roman"/>
          <w:b/>
          <w:bCs/>
          <w:lang w:eastAsia="zh-CN"/>
        </w:rPr>
        <w:t> </w:t>
      </w:r>
    </w:p>
    <w:p w14:paraId="5FCE570E" w14:textId="4099CAEA" w:rsidR="001430EF" w:rsidRPr="0049776C" w:rsidRDefault="001430EF" w:rsidP="001430EF">
      <w:pPr>
        <w:pStyle w:val="AKFSubsub"/>
        <w:keepNext w:val="0"/>
        <w:widowControl w:val="0"/>
        <w:numPr>
          <w:ilvl w:val="0"/>
          <w:numId w:val="0"/>
        </w:numPr>
        <w:spacing w:line="240" w:lineRule="auto"/>
        <w:ind w:left="1440" w:hanging="720"/>
        <w:jc w:val="both"/>
        <w:rPr>
          <w:rFonts w:ascii="Arial" w:hAnsi="Arial" w:cs="Arial"/>
          <w:color w:val="0070C0"/>
          <w:lang w:eastAsia="zh-CN"/>
        </w:rPr>
      </w:pPr>
      <w:bookmarkStart w:id="102" w:name="_Toc134778251"/>
      <w:r>
        <w:rPr>
          <w:rFonts w:ascii="Arial" w:hAnsi="Arial" w:cs="Arial"/>
          <w:u w:val="none"/>
          <w:lang w:eastAsia="zh-CN"/>
        </w:rPr>
        <w:t xml:space="preserve">4.3.4. </w:t>
      </w:r>
      <w:r>
        <w:rPr>
          <w:rFonts w:ascii="Arial" w:hAnsi="Arial" w:cs="Arial"/>
          <w:u w:val="none"/>
          <w:lang w:eastAsia="zh-CN"/>
        </w:rPr>
        <w:tab/>
        <w:t>Passive Strategies</w:t>
      </w:r>
      <w:bookmarkEnd w:id="102"/>
      <w:r>
        <w:rPr>
          <w:rFonts w:ascii="Arial" w:hAnsi="Arial" w:cs="Arial"/>
          <w:u w:val="none"/>
          <w:lang w:eastAsia="zh-CN"/>
        </w:rPr>
        <w:t xml:space="preserve">  </w:t>
      </w:r>
      <w:r w:rsidRPr="007B6532">
        <w:rPr>
          <w:rFonts w:ascii="Arial" w:eastAsia="Arial" w:hAnsi="Arial" w:cs="Arial"/>
          <w:color w:val="0070C0"/>
          <w:lang w:eastAsia="en-US"/>
        </w:rPr>
        <w:t>(Preferred)</w:t>
      </w:r>
    </w:p>
    <w:p w14:paraId="09EE8EC1" w14:textId="77777777" w:rsidR="001430EF" w:rsidRPr="00454D75" w:rsidRDefault="001430EF" w:rsidP="001430EF">
      <w:pPr>
        <w:pStyle w:val="AKFSubsub"/>
        <w:keepNext w:val="0"/>
        <w:widowControl w:val="0"/>
        <w:numPr>
          <w:ilvl w:val="0"/>
          <w:numId w:val="0"/>
        </w:numPr>
        <w:spacing w:before="0" w:line="240" w:lineRule="auto"/>
        <w:ind w:left="1440"/>
        <w:jc w:val="both"/>
        <w:outlineLvl w:val="3"/>
        <w:rPr>
          <w:rFonts w:ascii="Arial" w:hAnsi="Arial" w:cs="Arial"/>
          <w:u w:val="none"/>
          <w:lang w:eastAsia="zh-CN"/>
        </w:rPr>
      </w:pPr>
      <w:bookmarkStart w:id="103" w:name="_Toc134778252"/>
      <w:r w:rsidRPr="00454D75">
        <w:rPr>
          <w:rFonts w:ascii="Arial" w:hAnsi="Arial" w:cs="Arial"/>
          <w:u w:val="none"/>
          <w:lang w:eastAsia="zh-CN"/>
        </w:rPr>
        <w:t>Lot 2: Growth Option, Lot 3: Growth and Income Option, and/or Lot 4: Conservative Principal Protection Option</w:t>
      </w:r>
      <w:bookmarkEnd w:id="103"/>
      <w:r w:rsidRPr="00454D75">
        <w:rPr>
          <w:rFonts w:ascii="Arial" w:hAnsi="Arial" w:cs="Arial"/>
          <w:u w:val="none"/>
          <w:lang w:eastAsia="zh-CN"/>
        </w:rPr>
        <w:t xml:space="preserve"> </w:t>
      </w:r>
    </w:p>
    <w:p w14:paraId="1FE72D59" w14:textId="77777777" w:rsidR="001430EF" w:rsidRPr="00E21237" w:rsidRDefault="001430EF" w:rsidP="001430EF">
      <w:pPr>
        <w:widowControl w:val="0"/>
        <w:spacing w:before="120" w:after="240" w:line="240" w:lineRule="auto"/>
        <w:ind w:left="1440"/>
        <w:jc w:val="both"/>
        <w:textAlignment w:val="baseline"/>
        <w:rPr>
          <w:rFonts w:eastAsia="Times New Roman"/>
          <w:lang w:eastAsia="zh-CN"/>
        </w:rPr>
      </w:pPr>
      <w:r w:rsidRPr="00E21237">
        <w:rPr>
          <w:rFonts w:eastAsia="Times New Roman"/>
          <w:lang w:eastAsia="zh-CN"/>
        </w:rPr>
        <w:t xml:space="preserve">Bidders submitting a </w:t>
      </w:r>
      <w:r>
        <w:rPr>
          <w:rFonts w:eastAsia="Times New Roman"/>
          <w:lang w:eastAsia="zh-CN"/>
        </w:rPr>
        <w:t>P</w:t>
      </w:r>
      <w:r w:rsidRPr="00E21237">
        <w:rPr>
          <w:rFonts w:eastAsia="Times New Roman"/>
          <w:lang w:eastAsia="zh-CN"/>
        </w:rPr>
        <w:t xml:space="preserve">roposal for </w:t>
      </w:r>
      <w:r w:rsidRPr="00B30A50">
        <w:rPr>
          <w:rFonts w:eastAsia="Times New Roman"/>
          <w:lang w:eastAsia="zh-CN"/>
        </w:rPr>
        <w:t xml:space="preserve">Investment Management </w:t>
      </w:r>
      <w:r>
        <w:rPr>
          <w:rFonts w:eastAsia="Times New Roman"/>
          <w:lang w:eastAsia="zh-CN"/>
        </w:rPr>
        <w:t>S</w:t>
      </w:r>
      <w:r w:rsidRPr="00B30A50">
        <w:rPr>
          <w:rFonts w:eastAsia="Times New Roman"/>
          <w:lang w:eastAsia="zh-CN"/>
        </w:rPr>
        <w:t>ervices</w:t>
      </w:r>
      <w:r w:rsidRPr="00E21237">
        <w:rPr>
          <w:rFonts w:eastAsia="Times New Roman"/>
          <w:lang w:eastAsia="zh-CN"/>
        </w:rPr>
        <w:t xml:space="preserve"> that includes passively-managed Non-Target Retirement Date Option(s) (Lot 2: Growth Option, Lot 3: Growth and Income Option, and/or Lot 4: Conservative </w:t>
      </w:r>
      <w:r w:rsidRPr="005706A1">
        <w:rPr>
          <w:rFonts w:eastAsia="Times New Roman"/>
          <w:lang w:eastAsia="zh-CN"/>
        </w:rPr>
        <w:t xml:space="preserve">Principal Protection Option) should provide </w:t>
      </w:r>
      <w:r w:rsidRPr="005706A1">
        <w:rPr>
          <w:rFonts w:eastAsia="Times New Roman"/>
          <w:b/>
          <w:bCs/>
          <w:lang w:eastAsia="zh-CN"/>
        </w:rPr>
        <w:t xml:space="preserve">all </w:t>
      </w:r>
      <w:r w:rsidRPr="005706A1">
        <w:rPr>
          <w:rFonts w:eastAsia="Times New Roman"/>
          <w:lang w:eastAsia="zh-CN"/>
        </w:rPr>
        <w:t xml:space="preserve">information requested below under this </w:t>
      </w:r>
      <w:r w:rsidRPr="005706A1">
        <w:rPr>
          <w:rFonts w:eastAsia="Times New Roman"/>
          <w:b/>
          <w:bCs/>
          <w:lang w:eastAsia="zh-CN"/>
        </w:rPr>
        <w:t>Section 4.3.4</w:t>
      </w:r>
      <w:r w:rsidRPr="005706A1">
        <w:rPr>
          <w:rFonts w:eastAsia="Times New Roman"/>
          <w:lang w:eastAsia="zh-CN"/>
        </w:rPr>
        <w:t>.</w:t>
      </w:r>
      <w:r w:rsidRPr="00E21237">
        <w:rPr>
          <w:rFonts w:eastAsia="Times New Roman"/>
          <w:lang w:eastAsia="zh-CN"/>
        </w:rPr>
        <w:t> </w:t>
      </w:r>
    </w:p>
    <w:p w14:paraId="02C381C2" w14:textId="381C98F1" w:rsidR="001430EF" w:rsidRPr="001430EF" w:rsidRDefault="001430EF" w:rsidP="001430EF">
      <w:pPr>
        <w:spacing w:after="200" w:line="240" w:lineRule="auto"/>
        <w:ind w:left="2520" w:hanging="1080"/>
        <w:jc w:val="both"/>
        <w:textAlignment w:val="baseline"/>
        <w:rPr>
          <w:rFonts w:eastAsia="Times New Roman"/>
          <w:lang w:eastAsia="zh-CN"/>
        </w:rPr>
      </w:pPr>
      <w:r>
        <w:rPr>
          <w:rFonts w:eastAsia="Times New Roman"/>
          <w:lang w:eastAsia="zh-CN"/>
        </w:rPr>
        <w:t xml:space="preserve">4.3.4.1. </w:t>
      </w:r>
      <w:r>
        <w:rPr>
          <w:rFonts w:eastAsia="Times New Roman"/>
          <w:lang w:eastAsia="zh-CN"/>
        </w:rPr>
        <w:tab/>
      </w:r>
      <w:r w:rsidRPr="001430EF">
        <w:rPr>
          <w:rFonts w:eastAsia="Times New Roman"/>
          <w:lang w:eastAsia="zh-CN"/>
        </w:rPr>
        <w:t xml:space="preserve">Bidder should </w:t>
      </w:r>
      <w:r>
        <w:rPr>
          <w:rFonts w:eastAsia="Times New Roman"/>
          <w:lang w:eastAsia="zh-CN"/>
        </w:rPr>
        <w:t>s</w:t>
      </w:r>
      <w:r w:rsidRPr="00942FEC">
        <w:rPr>
          <w:rFonts w:eastAsia="Times New Roman"/>
          <w:lang w:eastAsia="zh-CN"/>
        </w:rPr>
        <w:t>tate how the Bidder replicates the index – full replication or sampling. If the answer is “sampling,” please provide a detailed explanation of the process.</w:t>
      </w:r>
      <w:r w:rsidRPr="001430EF">
        <w:rPr>
          <w:rFonts w:eastAsia="Times New Roman"/>
          <w:lang w:eastAsia="zh-CN"/>
        </w:rPr>
        <w:t> </w:t>
      </w:r>
    </w:p>
    <w:p w14:paraId="21559B76" w14:textId="381E9E49" w:rsidR="001430EF" w:rsidRPr="001430EF" w:rsidRDefault="001430EF" w:rsidP="001430EF">
      <w:pPr>
        <w:spacing w:after="200" w:line="240" w:lineRule="auto"/>
        <w:ind w:left="2520" w:hanging="1080"/>
        <w:jc w:val="both"/>
        <w:textAlignment w:val="baseline"/>
        <w:rPr>
          <w:rFonts w:eastAsia="Times New Roman"/>
          <w:lang w:eastAsia="zh-CN"/>
        </w:rPr>
      </w:pPr>
      <w:r>
        <w:rPr>
          <w:rFonts w:eastAsia="Times New Roman"/>
          <w:lang w:eastAsia="zh-CN"/>
        </w:rPr>
        <w:t xml:space="preserve">4.3.4.2. </w:t>
      </w:r>
      <w:r>
        <w:rPr>
          <w:rFonts w:eastAsia="Times New Roman"/>
          <w:lang w:eastAsia="zh-CN"/>
        </w:rPr>
        <w:tab/>
      </w:r>
      <w:r w:rsidRPr="00942FEC">
        <w:rPr>
          <w:rFonts w:eastAsia="Times New Roman"/>
          <w:lang w:eastAsia="zh-CN"/>
        </w:rPr>
        <w:t xml:space="preserve">If applicable, </w:t>
      </w:r>
      <w:r w:rsidRPr="001430EF">
        <w:rPr>
          <w:rFonts w:eastAsia="Times New Roman"/>
          <w:lang w:eastAsia="zh-CN"/>
        </w:rPr>
        <w:t xml:space="preserve">Bidder should </w:t>
      </w:r>
      <w:r w:rsidRPr="00942FEC">
        <w:rPr>
          <w:rFonts w:eastAsia="Times New Roman"/>
          <w:lang w:eastAsia="zh-CN"/>
        </w:rPr>
        <w:t xml:space="preserve">describe how the proposed product manages index reconstitution. </w:t>
      </w:r>
    </w:p>
    <w:p w14:paraId="6C39C93F" w14:textId="52BE73ED" w:rsidR="001430EF" w:rsidRPr="00942FEC" w:rsidRDefault="001430EF" w:rsidP="001430EF">
      <w:pPr>
        <w:spacing w:after="200" w:line="240" w:lineRule="auto"/>
        <w:ind w:left="2520" w:hanging="1080"/>
        <w:jc w:val="both"/>
        <w:textAlignment w:val="baseline"/>
        <w:rPr>
          <w:rFonts w:eastAsia="Times New Roman"/>
          <w:lang w:eastAsia="zh-CN"/>
        </w:rPr>
      </w:pPr>
      <w:r>
        <w:rPr>
          <w:rFonts w:eastAsia="Times New Roman"/>
          <w:lang w:eastAsia="zh-CN"/>
        </w:rPr>
        <w:t>4.3.4.3.</w:t>
      </w:r>
      <w:r>
        <w:rPr>
          <w:rFonts w:eastAsia="Times New Roman"/>
          <w:lang w:eastAsia="zh-CN"/>
        </w:rPr>
        <w:tab/>
      </w:r>
      <w:r w:rsidRPr="00942FEC">
        <w:rPr>
          <w:rFonts w:eastAsia="Times New Roman"/>
          <w:lang w:eastAsia="zh-CN"/>
        </w:rPr>
        <w:t xml:space="preserve">If applicable, </w:t>
      </w:r>
      <w:r w:rsidRPr="001430EF">
        <w:rPr>
          <w:rFonts w:eastAsia="Times New Roman"/>
          <w:lang w:eastAsia="zh-CN"/>
        </w:rPr>
        <w:t xml:space="preserve">Bidder should </w:t>
      </w:r>
      <w:r w:rsidRPr="00942FEC">
        <w:rPr>
          <w:rFonts w:eastAsia="Times New Roman"/>
          <w:lang w:eastAsia="zh-CN"/>
        </w:rPr>
        <w:t>state whether the performance of the proposed product has been impacted positively or negatively by index reconstitution. </w:t>
      </w:r>
    </w:p>
    <w:p w14:paraId="7FEA5C63" w14:textId="63539C19" w:rsidR="001430EF" w:rsidRPr="00942FEC" w:rsidRDefault="001430EF" w:rsidP="001430EF">
      <w:pPr>
        <w:spacing w:after="200" w:line="240" w:lineRule="auto"/>
        <w:ind w:left="2520" w:hanging="1080"/>
        <w:jc w:val="both"/>
        <w:textAlignment w:val="baseline"/>
        <w:rPr>
          <w:rFonts w:eastAsia="Times New Roman"/>
          <w:lang w:eastAsia="zh-CN"/>
        </w:rPr>
      </w:pPr>
      <w:r>
        <w:rPr>
          <w:rFonts w:eastAsia="Times New Roman"/>
          <w:lang w:eastAsia="zh-CN"/>
        </w:rPr>
        <w:t>4.3.4.4.</w:t>
      </w:r>
      <w:r>
        <w:rPr>
          <w:rFonts w:eastAsia="Times New Roman"/>
          <w:lang w:eastAsia="zh-CN"/>
        </w:rPr>
        <w:tab/>
      </w:r>
      <w:r w:rsidRPr="001430EF">
        <w:rPr>
          <w:rFonts w:eastAsia="Times New Roman"/>
          <w:lang w:eastAsia="zh-CN"/>
        </w:rPr>
        <w:t>Bidder</w:t>
      </w:r>
      <w:r>
        <w:rPr>
          <w:rStyle w:val="normaltextrun"/>
        </w:rPr>
        <w:t xml:space="preserve"> should </w:t>
      </w:r>
      <w:r>
        <w:rPr>
          <w:rFonts w:eastAsia="Times New Roman"/>
          <w:lang w:eastAsia="zh-CN"/>
        </w:rPr>
        <w:t>e</w:t>
      </w:r>
      <w:r w:rsidRPr="00942FEC">
        <w:rPr>
          <w:rFonts w:eastAsia="Times New Roman"/>
          <w:lang w:eastAsia="zh-CN"/>
        </w:rPr>
        <w:t>xplain how liquidity is managed for the proposed product. If cash is held, explain how equity exposure is maintained.</w:t>
      </w:r>
    </w:p>
    <w:p w14:paraId="5CE72E62" w14:textId="4EBEBC42" w:rsidR="001430EF" w:rsidRDefault="001430EF" w:rsidP="001430EF">
      <w:pPr>
        <w:pStyle w:val="AKFSubsub"/>
        <w:keepNext w:val="0"/>
        <w:widowControl w:val="0"/>
        <w:numPr>
          <w:ilvl w:val="0"/>
          <w:numId w:val="0"/>
        </w:numPr>
        <w:spacing w:line="240" w:lineRule="auto"/>
        <w:ind w:left="1440" w:hanging="720"/>
        <w:jc w:val="both"/>
        <w:rPr>
          <w:rFonts w:ascii="Arial" w:hAnsi="Arial" w:cs="Arial"/>
          <w:u w:val="none"/>
          <w:lang w:eastAsia="zh-CN"/>
        </w:rPr>
      </w:pPr>
      <w:bookmarkStart w:id="104" w:name="_Toc134778253"/>
      <w:r>
        <w:rPr>
          <w:rFonts w:ascii="Arial" w:hAnsi="Arial" w:cs="Arial"/>
          <w:u w:val="none"/>
          <w:lang w:eastAsia="zh-CN"/>
        </w:rPr>
        <w:t xml:space="preserve">4.3.5. </w:t>
      </w:r>
      <w:r>
        <w:rPr>
          <w:rFonts w:ascii="Arial" w:hAnsi="Arial" w:cs="Arial"/>
          <w:u w:val="none"/>
          <w:lang w:eastAsia="zh-CN"/>
        </w:rPr>
        <w:tab/>
        <w:t>Active Strategies</w:t>
      </w:r>
      <w:bookmarkEnd w:id="104"/>
    </w:p>
    <w:p w14:paraId="2BEB5F83" w14:textId="77777777" w:rsidR="001430EF" w:rsidRPr="00454D75" w:rsidRDefault="001430EF" w:rsidP="001430EF">
      <w:pPr>
        <w:pStyle w:val="AKFSubsub"/>
        <w:keepNext w:val="0"/>
        <w:widowControl w:val="0"/>
        <w:numPr>
          <w:ilvl w:val="0"/>
          <w:numId w:val="0"/>
        </w:numPr>
        <w:spacing w:before="0" w:line="240" w:lineRule="auto"/>
        <w:ind w:left="1440"/>
        <w:jc w:val="both"/>
        <w:outlineLvl w:val="3"/>
        <w:rPr>
          <w:rFonts w:ascii="Arial" w:hAnsi="Arial" w:cs="Arial"/>
          <w:u w:val="none"/>
          <w:lang w:eastAsia="zh-CN"/>
        </w:rPr>
      </w:pPr>
      <w:bookmarkStart w:id="105" w:name="_Toc134778254"/>
      <w:r w:rsidRPr="00454D75">
        <w:rPr>
          <w:rFonts w:ascii="Arial" w:hAnsi="Arial" w:cs="Arial"/>
          <w:u w:val="none"/>
          <w:lang w:eastAsia="zh-CN"/>
        </w:rPr>
        <w:t>Lot 2: Growth Option, Lot 3: Growth and Income Option, and/or Lot 4: Conservative Principal Protection Option</w:t>
      </w:r>
      <w:bookmarkEnd w:id="105"/>
      <w:r w:rsidRPr="00454D75">
        <w:rPr>
          <w:rFonts w:ascii="Arial" w:hAnsi="Arial" w:cs="Arial"/>
          <w:u w:val="none"/>
          <w:lang w:eastAsia="zh-CN"/>
        </w:rPr>
        <w:t xml:space="preserve"> </w:t>
      </w:r>
    </w:p>
    <w:p w14:paraId="7FBBEC5E" w14:textId="77777777" w:rsidR="001430EF" w:rsidRPr="00942FEC" w:rsidRDefault="001430EF" w:rsidP="001430EF">
      <w:pPr>
        <w:widowControl w:val="0"/>
        <w:spacing w:before="60" w:after="240" w:line="240" w:lineRule="auto"/>
        <w:ind w:left="1440"/>
        <w:jc w:val="both"/>
        <w:textAlignment w:val="baseline"/>
        <w:rPr>
          <w:rFonts w:eastAsia="Times New Roman"/>
          <w:lang w:eastAsia="zh-CN"/>
        </w:rPr>
      </w:pPr>
      <w:bookmarkStart w:id="106" w:name="_Toc128122221"/>
      <w:bookmarkStart w:id="107" w:name="_Toc128136515"/>
      <w:bookmarkEnd w:id="106"/>
      <w:bookmarkEnd w:id="107"/>
      <w:r w:rsidRPr="00942FEC">
        <w:rPr>
          <w:rFonts w:eastAsia="Times New Roman"/>
          <w:lang w:eastAsia="zh-CN"/>
        </w:rPr>
        <w:t xml:space="preserve">Bidders submitting a </w:t>
      </w:r>
      <w:r>
        <w:rPr>
          <w:rFonts w:eastAsia="Times New Roman"/>
          <w:lang w:eastAsia="zh-CN"/>
        </w:rPr>
        <w:t>P</w:t>
      </w:r>
      <w:r w:rsidRPr="00942FEC">
        <w:rPr>
          <w:rFonts w:eastAsia="Times New Roman"/>
          <w:lang w:eastAsia="zh-CN"/>
        </w:rPr>
        <w:t xml:space="preserve">roposal for Investment </w:t>
      </w:r>
      <w:r w:rsidRPr="00B30A50">
        <w:rPr>
          <w:rFonts w:eastAsia="Times New Roman"/>
          <w:lang w:eastAsia="zh-CN"/>
        </w:rPr>
        <w:t xml:space="preserve">Management </w:t>
      </w:r>
      <w:r>
        <w:rPr>
          <w:rFonts w:eastAsia="Times New Roman"/>
          <w:lang w:eastAsia="zh-CN"/>
        </w:rPr>
        <w:t>S</w:t>
      </w:r>
      <w:r w:rsidRPr="00B30A50">
        <w:rPr>
          <w:rFonts w:eastAsia="Times New Roman"/>
          <w:lang w:eastAsia="zh-CN"/>
        </w:rPr>
        <w:t>ervices</w:t>
      </w:r>
      <w:r w:rsidRPr="00942FEC">
        <w:rPr>
          <w:rFonts w:eastAsia="Times New Roman"/>
          <w:lang w:eastAsia="zh-CN"/>
        </w:rPr>
        <w:t xml:space="preserve"> that includes actively-managed Non-Target </w:t>
      </w:r>
      <w:r>
        <w:rPr>
          <w:rFonts w:eastAsia="Times New Roman"/>
          <w:lang w:eastAsia="zh-CN"/>
        </w:rPr>
        <w:t xml:space="preserve">Retirement </w:t>
      </w:r>
      <w:r w:rsidRPr="00942FEC">
        <w:rPr>
          <w:rFonts w:eastAsia="Times New Roman"/>
          <w:lang w:eastAsia="zh-CN"/>
        </w:rPr>
        <w:t xml:space="preserve">Date </w:t>
      </w:r>
      <w:r>
        <w:rPr>
          <w:rFonts w:eastAsia="Times New Roman"/>
          <w:lang w:eastAsia="zh-CN"/>
        </w:rPr>
        <w:t>Option(s)</w:t>
      </w:r>
      <w:r w:rsidRPr="00942FEC">
        <w:rPr>
          <w:rFonts w:eastAsia="Times New Roman"/>
          <w:lang w:eastAsia="zh-CN"/>
        </w:rPr>
        <w:t xml:space="preserve"> (</w:t>
      </w:r>
      <w:r w:rsidRPr="00713D4B">
        <w:rPr>
          <w:rFonts w:eastAsia="Times New Roman"/>
          <w:lang w:eastAsia="zh-CN"/>
        </w:rPr>
        <w:t xml:space="preserve">Lot 2: </w:t>
      </w:r>
      <w:r w:rsidRPr="005706A1">
        <w:rPr>
          <w:rFonts w:eastAsia="Times New Roman"/>
          <w:lang w:eastAsia="zh-CN"/>
        </w:rPr>
        <w:t xml:space="preserve">Growth Option, Lot 3: Growth and Income Option, and/or Lot 4: Conservative Principal Protection Option) should provide </w:t>
      </w:r>
      <w:r w:rsidRPr="005706A1">
        <w:rPr>
          <w:rFonts w:eastAsia="Times New Roman"/>
          <w:b/>
          <w:bCs/>
          <w:lang w:eastAsia="zh-CN"/>
        </w:rPr>
        <w:t xml:space="preserve">all </w:t>
      </w:r>
      <w:r w:rsidRPr="005706A1">
        <w:rPr>
          <w:rFonts w:eastAsia="Times New Roman"/>
          <w:lang w:eastAsia="zh-CN"/>
        </w:rPr>
        <w:t xml:space="preserve">information requested below under this </w:t>
      </w:r>
      <w:r w:rsidRPr="005706A1">
        <w:rPr>
          <w:rFonts w:eastAsia="Times New Roman"/>
          <w:b/>
          <w:bCs/>
          <w:lang w:eastAsia="zh-CN"/>
        </w:rPr>
        <w:t>Section 4.3.5</w:t>
      </w:r>
      <w:r w:rsidRPr="005706A1">
        <w:rPr>
          <w:rFonts w:eastAsia="Times New Roman"/>
          <w:lang w:eastAsia="zh-CN"/>
        </w:rPr>
        <w:t>.</w:t>
      </w:r>
      <w:r w:rsidRPr="00942FEC">
        <w:rPr>
          <w:rFonts w:eastAsia="Times New Roman"/>
          <w:lang w:eastAsia="zh-CN"/>
        </w:rPr>
        <w:t> </w:t>
      </w:r>
    </w:p>
    <w:p w14:paraId="32B96A97" w14:textId="1DA5C443" w:rsidR="000F5E9B" w:rsidRPr="004936F0" w:rsidRDefault="001430EF" w:rsidP="001430EF">
      <w:pPr>
        <w:spacing w:after="200" w:line="240" w:lineRule="auto"/>
        <w:ind w:left="2520" w:hanging="1080"/>
        <w:jc w:val="both"/>
        <w:textAlignment w:val="baseline"/>
      </w:pPr>
      <w:r>
        <w:rPr>
          <w:rFonts w:eastAsia="Times New Roman"/>
          <w:lang w:eastAsia="zh-CN"/>
        </w:rPr>
        <w:t xml:space="preserve">4.3.5.1. </w:t>
      </w:r>
      <w:r>
        <w:rPr>
          <w:rFonts w:eastAsia="Times New Roman"/>
          <w:lang w:eastAsia="zh-CN"/>
        </w:rPr>
        <w:tab/>
      </w:r>
      <w:r w:rsidRPr="001430EF">
        <w:rPr>
          <w:rFonts w:eastAsia="Times New Roman"/>
          <w:lang w:eastAsia="zh-CN"/>
        </w:rPr>
        <w:t>Bidder</w:t>
      </w:r>
      <w:r>
        <w:rPr>
          <w:rStyle w:val="normaltextrun"/>
        </w:rPr>
        <w:t xml:space="preserve"> should </w:t>
      </w:r>
      <w:r>
        <w:rPr>
          <w:rFonts w:eastAsia="Times New Roman"/>
          <w:lang w:eastAsia="zh-CN"/>
        </w:rPr>
        <w:t>d</w:t>
      </w:r>
      <w:r w:rsidRPr="00942FEC">
        <w:rPr>
          <w:rFonts w:eastAsia="Times New Roman"/>
          <w:lang w:eastAsia="zh-CN"/>
        </w:rPr>
        <w:t>escribe the benchmark against which the proposed</w:t>
      </w:r>
    </w:p>
    <w:sectPr w:rsidR="000F5E9B" w:rsidRPr="004936F0" w:rsidSect="001430EF">
      <w:footerReference w:type="default" r:id="rId2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074C" w14:textId="77777777" w:rsidR="00C258BF" w:rsidRDefault="00C258BF" w:rsidP="00456AED">
      <w:pPr>
        <w:spacing w:after="0" w:line="240" w:lineRule="auto"/>
      </w:pPr>
      <w:r>
        <w:separator/>
      </w:r>
    </w:p>
  </w:endnote>
  <w:endnote w:type="continuationSeparator" w:id="0">
    <w:p w14:paraId="33450941" w14:textId="77777777" w:rsidR="00C258BF" w:rsidRDefault="00C258BF" w:rsidP="00456AED">
      <w:pPr>
        <w:spacing w:after="0" w:line="240" w:lineRule="auto"/>
      </w:pPr>
      <w:r>
        <w:continuationSeparator/>
      </w:r>
    </w:p>
  </w:endnote>
  <w:endnote w:type="continuationNotice" w:id="1">
    <w:p w14:paraId="3A45FA74" w14:textId="77777777" w:rsidR="00C258BF" w:rsidRDefault="00C25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Tahom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Ind w:w="-635" w:type="dxa"/>
      <w:tblLook w:val="04A0" w:firstRow="1" w:lastRow="0" w:firstColumn="1" w:lastColumn="0" w:noHBand="0" w:noVBand="1"/>
    </w:tblPr>
    <w:tblGrid>
      <w:gridCol w:w="10890"/>
    </w:tblGrid>
    <w:tr w:rsidR="0076327D" w14:paraId="6E18C3FD" w14:textId="77777777" w:rsidTr="000000E7">
      <w:tc>
        <w:tcPr>
          <w:tcW w:w="10890" w:type="dxa"/>
          <w:tcBorders>
            <w:top w:val="single" w:sz="2" w:space="0" w:color="A6A6A6" w:themeColor="background1" w:themeShade="A6"/>
            <w:left w:val="single" w:sz="4" w:space="0" w:color="FFFFFF" w:themeColor="background1"/>
            <w:bottom w:val="single" w:sz="4" w:space="0" w:color="FFFFFF" w:themeColor="background1"/>
            <w:right w:val="single" w:sz="4" w:space="0" w:color="FFFFFF" w:themeColor="background1"/>
          </w:tcBorders>
        </w:tcPr>
        <w:p w14:paraId="48869541" w14:textId="77777777" w:rsidR="0076327D" w:rsidRPr="00E24A82" w:rsidRDefault="0076327D" w:rsidP="0076327D">
          <w:pPr>
            <w:pStyle w:val="Footer"/>
            <w:spacing w:before="120"/>
            <w:jc w:val="center"/>
            <w:rPr>
              <w:rFonts w:ascii="Proxima Nova Rg" w:hAnsi="Proxima Nova Rg"/>
              <w:color w:val="646569"/>
              <w:sz w:val="16"/>
              <w:szCs w:val="16"/>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www.tax.ny.gov</w:t>
          </w:r>
        </w:p>
      </w:tc>
    </w:tr>
  </w:tbl>
  <w:p w14:paraId="621BD8E4" w14:textId="77777777" w:rsidR="0076327D" w:rsidRDefault="00763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68724"/>
      <w:docPartObj>
        <w:docPartGallery w:val="Page Numbers (Bottom of Page)"/>
        <w:docPartUnique/>
      </w:docPartObj>
    </w:sdtPr>
    <w:sdtEndPr>
      <w:rPr>
        <w:noProof/>
      </w:rPr>
    </w:sdtEndPr>
    <w:sdtContent>
      <w:p w14:paraId="528B63F5" w14:textId="6481F1E6" w:rsidR="0076327D" w:rsidRDefault="0076327D" w:rsidP="0076327D">
        <w:pPr>
          <w:pStyle w:val="Footer"/>
          <w:spacing w:before="120"/>
          <w:jc w:val="right"/>
        </w:pPr>
        <w:r>
          <w:t xml:space="preserve">RFP 23-100 Response to Bidder Questions | Page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EE0D" w14:textId="578AD2BD" w:rsidR="0076327D" w:rsidRPr="00092940" w:rsidRDefault="0076327D" w:rsidP="009C6B24">
    <w:pPr>
      <w:pStyle w:val="Footer"/>
      <w:spacing w:after="120"/>
    </w:pPr>
    <w:r w:rsidRPr="00092940">
      <w:tab/>
    </w:r>
    <w:r w:rsidRPr="00092940">
      <w:tab/>
      <w:t xml:space="preserve">RFP </w:t>
    </w:r>
    <w:r w:rsidR="00BE08E0">
      <w:t xml:space="preserve">23-100 </w:t>
    </w:r>
    <w:r w:rsidRPr="00092940">
      <w:t xml:space="preserve">Amendment </w:t>
    </w:r>
    <w:r w:rsidR="00BE08E0">
      <w:t>#</w:t>
    </w:r>
    <w:r w:rsidRPr="00092940">
      <w:t xml:space="preserve">1  | Page </w:t>
    </w:r>
    <w:r w:rsidRPr="00092940">
      <w:rPr>
        <w:b/>
      </w:rPr>
      <w:t>1</w:t>
    </w:r>
    <w:r w:rsidR="008A2C43">
      <w:rPr>
        <w:b/>
      </w:rPr>
      <w:t>5</w:t>
    </w:r>
    <w:r>
      <w:rPr>
        <w:b/>
      </w:rPr>
      <w:t>-A</w:t>
    </w:r>
    <w:r w:rsidR="00F90C72">
      <w:rPr>
        <w:b/>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A28C" w14:textId="00BC2F1A" w:rsidR="008A2C43" w:rsidRPr="00092940" w:rsidRDefault="008A2C43" w:rsidP="009C6B24">
    <w:pPr>
      <w:pStyle w:val="Footer"/>
      <w:spacing w:after="120"/>
    </w:pPr>
    <w:r w:rsidRPr="00092940">
      <w:tab/>
    </w:r>
    <w:r w:rsidRPr="00092940">
      <w:tab/>
    </w:r>
    <w:r w:rsidR="00BE08E0" w:rsidRPr="00092940">
      <w:t xml:space="preserve">RFP </w:t>
    </w:r>
    <w:r w:rsidR="00BE08E0">
      <w:t xml:space="preserve">23-100 </w:t>
    </w:r>
    <w:r w:rsidRPr="00092940">
      <w:t xml:space="preserve">Amendment </w:t>
    </w:r>
    <w:r w:rsidR="00BE08E0">
      <w:t>#</w:t>
    </w:r>
    <w:r w:rsidRPr="00092940">
      <w:t xml:space="preserve">1  | Page </w:t>
    </w:r>
    <w:r w:rsidRPr="00092940">
      <w:rPr>
        <w:b/>
      </w:rPr>
      <w:t>1</w:t>
    </w:r>
    <w:r w:rsidR="009C6B24">
      <w:rPr>
        <w:b/>
      </w:rPr>
      <w:t>7</w:t>
    </w:r>
    <w:r>
      <w:rPr>
        <w:b/>
      </w:rPr>
      <w:t>-A</w:t>
    </w:r>
    <w:r w:rsidR="00F90C72">
      <w:rPr>
        <w:b/>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6307" w14:textId="799495E8" w:rsidR="0076327D" w:rsidRPr="00092940" w:rsidRDefault="0076327D" w:rsidP="009C6B24">
    <w:pPr>
      <w:pStyle w:val="Footer"/>
      <w:spacing w:after="120"/>
    </w:pPr>
    <w:r w:rsidRPr="00092940">
      <w:tab/>
    </w:r>
    <w:r w:rsidRPr="00092940">
      <w:tab/>
    </w:r>
    <w:r w:rsidR="00BE08E0" w:rsidRPr="00092940">
      <w:t xml:space="preserve">RFP </w:t>
    </w:r>
    <w:r w:rsidR="00BE08E0">
      <w:t xml:space="preserve">23-100 </w:t>
    </w:r>
    <w:r w:rsidRPr="00092940">
      <w:t xml:space="preserve">Amendment </w:t>
    </w:r>
    <w:r w:rsidR="00BE08E0">
      <w:t>#</w:t>
    </w:r>
    <w:r w:rsidRPr="00092940">
      <w:t xml:space="preserve">1  | Page </w:t>
    </w:r>
    <w:r w:rsidRPr="00092940">
      <w:rPr>
        <w:b/>
      </w:rPr>
      <w:t>1</w:t>
    </w:r>
    <w:r>
      <w:rPr>
        <w:b/>
      </w:rPr>
      <w:t>9-A</w:t>
    </w:r>
    <w:r w:rsidR="00F90C72">
      <w:rPr>
        <w:b/>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6534" w14:textId="627597A9" w:rsidR="007A3451" w:rsidRPr="00092940" w:rsidRDefault="007A3451" w:rsidP="009C6B24">
    <w:pPr>
      <w:pStyle w:val="Footer"/>
      <w:spacing w:after="120"/>
    </w:pPr>
    <w:r w:rsidRPr="00092940">
      <w:tab/>
    </w:r>
    <w:r w:rsidRPr="00092940">
      <w:tab/>
    </w:r>
    <w:r w:rsidR="00BE08E0" w:rsidRPr="00092940">
      <w:t xml:space="preserve">RFP </w:t>
    </w:r>
    <w:r w:rsidR="00BE08E0">
      <w:t xml:space="preserve">23-100 </w:t>
    </w:r>
    <w:r w:rsidRPr="00092940">
      <w:t xml:space="preserve">Amendment </w:t>
    </w:r>
    <w:r w:rsidR="00BE08E0">
      <w:t>#</w:t>
    </w:r>
    <w:r w:rsidRPr="00092940">
      <w:t xml:space="preserve">1  | Page </w:t>
    </w:r>
    <w:r>
      <w:rPr>
        <w:b/>
      </w:rPr>
      <w:t>25-A</w:t>
    </w:r>
    <w:r w:rsidR="00F90C72">
      <w:rPr>
        <w:b/>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7F04" w14:textId="6D7034F0" w:rsidR="001430EF" w:rsidRPr="00092940" w:rsidRDefault="001430EF" w:rsidP="009C6B24">
    <w:pPr>
      <w:pStyle w:val="Footer"/>
      <w:spacing w:after="120"/>
    </w:pPr>
    <w:r w:rsidRPr="00092940">
      <w:tab/>
    </w:r>
    <w:r w:rsidRPr="00092940">
      <w:tab/>
    </w:r>
    <w:r w:rsidR="00BE08E0" w:rsidRPr="00092940">
      <w:t xml:space="preserve">RFP </w:t>
    </w:r>
    <w:r w:rsidR="00BE08E0">
      <w:t xml:space="preserve">23-100 </w:t>
    </w:r>
    <w:r w:rsidRPr="00092940">
      <w:t xml:space="preserve">Amendment </w:t>
    </w:r>
    <w:r w:rsidR="00BE08E0">
      <w:t>#</w:t>
    </w:r>
    <w:r w:rsidRPr="00092940">
      <w:t xml:space="preserve">1  | Page </w:t>
    </w:r>
    <w:r>
      <w:rPr>
        <w:b/>
      </w:rPr>
      <w:t>42-A</w:t>
    </w:r>
    <w:r w:rsidR="00F90C72">
      <w:rPr>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2520" w14:textId="77777777" w:rsidR="00C258BF" w:rsidRDefault="00C258BF" w:rsidP="00456AED">
      <w:pPr>
        <w:spacing w:after="0" w:line="240" w:lineRule="auto"/>
      </w:pPr>
      <w:r>
        <w:separator/>
      </w:r>
    </w:p>
  </w:footnote>
  <w:footnote w:type="continuationSeparator" w:id="0">
    <w:p w14:paraId="37303E5D" w14:textId="77777777" w:rsidR="00C258BF" w:rsidRDefault="00C258BF" w:rsidP="00456AED">
      <w:pPr>
        <w:spacing w:after="0" w:line="240" w:lineRule="auto"/>
      </w:pPr>
      <w:r>
        <w:continuationSeparator/>
      </w:r>
    </w:p>
  </w:footnote>
  <w:footnote w:type="continuationNotice" w:id="1">
    <w:p w14:paraId="223A005A" w14:textId="77777777" w:rsidR="00C258BF" w:rsidRDefault="00C258BF">
      <w:pPr>
        <w:spacing w:after="0" w:line="240" w:lineRule="auto"/>
      </w:pPr>
    </w:p>
  </w:footnote>
  <w:footnote w:id="2">
    <w:p w14:paraId="150ED7AB" w14:textId="77777777" w:rsidR="001430EF" w:rsidRPr="00B0245F" w:rsidRDefault="001430EF" w:rsidP="001430EF">
      <w:pPr>
        <w:pStyle w:val="FootnoteText"/>
        <w:rPr>
          <w:rFonts w:ascii="Arial" w:hAnsi="Arial" w:cs="Arial"/>
          <w:sz w:val="16"/>
          <w:szCs w:val="16"/>
        </w:rPr>
      </w:pPr>
      <w:r w:rsidRPr="00B0245F">
        <w:rPr>
          <w:rStyle w:val="FootnoteReference"/>
          <w:rFonts w:ascii="Arial" w:hAnsi="Arial" w:cs="Arial"/>
          <w:sz w:val="16"/>
          <w:szCs w:val="16"/>
        </w:rPr>
        <w:footnoteRef/>
      </w:r>
      <w:r w:rsidRPr="00B0245F">
        <w:rPr>
          <w:rFonts w:ascii="Arial" w:hAnsi="Arial" w:cs="Arial"/>
          <w:sz w:val="16"/>
          <w:szCs w:val="16"/>
        </w:rPr>
        <w:t xml:space="preserve"> </w:t>
      </w:r>
      <w:r>
        <w:rPr>
          <w:rFonts w:ascii="Arial" w:hAnsi="Arial" w:cs="Arial"/>
          <w:sz w:val="16"/>
          <w:szCs w:val="16"/>
        </w:rPr>
        <w:t>The ‘t</w:t>
      </w:r>
      <w:r w:rsidRPr="00B0245F">
        <w:rPr>
          <w:rFonts w:ascii="Arial" w:hAnsi="Arial" w:cs="Arial"/>
          <w:sz w:val="16"/>
          <w:szCs w:val="16"/>
        </w:rPr>
        <w:t>o</w:t>
      </w:r>
      <w:r>
        <w:rPr>
          <w:rFonts w:ascii="Arial" w:hAnsi="Arial" w:cs="Arial"/>
          <w:sz w:val="16"/>
          <w:szCs w:val="16"/>
        </w:rPr>
        <w:t>’ glidepath has an asset mix that remains static after retirement age and the ‘through’ glidepath adjusts equity exposure beyond retirement 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11F8" w14:textId="3E054AD9" w:rsidR="00456AED" w:rsidRPr="00456AED" w:rsidRDefault="00456AED" w:rsidP="00456AED">
    <w:pPr>
      <w:pStyle w:val="Header"/>
      <w:spacing w:after="120"/>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8E5B" w14:textId="77777777" w:rsidR="0076327D" w:rsidRPr="007B6532" w:rsidRDefault="0076327D" w:rsidP="00456AED">
    <w:pPr>
      <w:pStyle w:val="Header"/>
      <w:jc w:val="center"/>
    </w:pPr>
    <w:r w:rsidRPr="007B6532">
      <w:t>The New York Secure Choice Savings Program Board</w:t>
    </w:r>
  </w:p>
  <w:p w14:paraId="1C2F088F" w14:textId="77777777" w:rsidR="0076327D" w:rsidRPr="007B6532" w:rsidRDefault="0076327D" w:rsidP="00456AED">
    <w:pPr>
      <w:pStyle w:val="Header"/>
      <w:jc w:val="center"/>
    </w:pPr>
    <w:r w:rsidRPr="007B6532">
      <w:t xml:space="preserve">Request for Proposals (RFP) 23-100 </w:t>
    </w:r>
  </w:p>
  <w:p w14:paraId="53682513" w14:textId="77777777" w:rsidR="0076327D" w:rsidRPr="007B6532" w:rsidRDefault="0076327D" w:rsidP="00456AED">
    <w:pPr>
      <w:pStyle w:val="Header"/>
      <w:jc w:val="center"/>
    </w:pPr>
    <w:r w:rsidRPr="007B6532">
      <w:t xml:space="preserve">Program Administration and Investment Management Services </w:t>
    </w:r>
  </w:p>
  <w:p w14:paraId="5D631C8C" w14:textId="77777777" w:rsidR="0076327D" w:rsidRPr="007B6532" w:rsidRDefault="0076327D" w:rsidP="00456AED">
    <w:pPr>
      <w:pStyle w:val="Header"/>
      <w:spacing w:after="120"/>
      <w:jc w:val="center"/>
    </w:pPr>
    <w:r w:rsidRPr="007B6532">
      <w:t>for the New York State Secure Choice Savings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DFFA" w14:textId="77777777" w:rsidR="007B6532" w:rsidRPr="007B6532" w:rsidRDefault="007B6532" w:rsidP="00456AED">
    <w:pPr>
      <w:pStyle w:val="Header"/>
      <w:jc w:val="center"/>
      <w:rPr>
        <w:sz w:val="20"/>
        <w:szCs w:val="20"/>
      </w:rPr>
    </w:pPr>
    <w:r w:rsidRPr="007B6532">
      <w:rPr>
        <w:sz w:val="20"/>
        <w:szCs w:val="20"/>
      </w:rPr>
      <w:t>The New York Secure Choice Savings Program Board</w:t>
    </w:r>
  </w:p>
  <w:p w14:paraId="441956CE" w14:textId="77777777" w:rsidR="007B6532" w:rsidRPr="007B6532" w:rsidRDefault="007B6532" w:rsidP="00456AED">
    <w:pPr>
      <w:pStyle w:val="Header"/>
      <w:jc w:val="center"/>
      <w:rPr>
        <w:sz w:val="20"/>
        <w:szCs w:val="20"/>
      </w:rPr>
    </w:pPr>
    <w:r w:rsidRPr="007B6532">
      <w:rPr>
        <w:sz w:val="20"/>
        <w:szCs w:val="20"/>
      </w:rPr>
      <w:t xml:space="preserve">Request for Proposals (RFP) 23-100 </w:t>
    </w:r>
  </w:p>
  <w:p w14:paraId="1B2406A3" w14:textId="77777777" w:rsidR="007B6532" w:rsidRPr="007B6532" w:rsidRDefault="007B6532" w:rsidP="00456AED">
    <w:pPr>
      <w:pStyle w:val="Header"/>
      <w:jc w:val="center"/>
      <w:rPr>
        <w:sz w:val="20"/>
        <w:szCs w:val="20"/>
      </w:rPr>
    </w:pPr>
    <w:r w:rsidRPr="007B6532">
      <w:rPr>
        <w:sz w:val="20"/>
        <w:szCs w:val="20"/>
      </w:rPr>
      <w:t xml:space="preserve">Program Administration and Investment Management Services </w:t>
    </w:r>
  </w:p>
  <w:p w14:paraId="501F60F9" w14:textId="77777777" w:rsidR="007B6532" w:rsidRPr="007B6532" w:rsidRDefault="007B6532" w:rsidP="00456AED">
    <w:pPr>
      <w:pStyle w:val="Header"/>
      <w:spacing w:after="120"/>
      <w:jc w:val="center"/>
      <w:rPr>
        <w:sz w:val="20"/>
        <w:szCs w:val="20"/>
      </w:rPr>
    </w:pPr>
    <w:r w:rsidRPr="007B6532">
      <w:rPr>
        <w:sz w:val="20"/>
        <w:szCs w:val="20"/>
      </w:rPr>
      <w:t>for the New York State Secure Choice Savings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090"/>
    <w:multiLevelType w:val="hybridMultilevel"/>
    <w:tmpl w:val="1AAC78EA"/>
    <w:lvl w:ilvl="0" w:tplc="19F676F4">
      <w:start w:val="1"/>
      <w:numFmt w:val="decimal"/>
      <w:lvlText w:val="%1."/>
      <w:lvlJc w:val="left"/>
      <w:pPr>
        <w:ind w:left="828" w:hanging="361"/>
      </w:pPr>
      <w:rPr>
        <w:rFonts w:ascii="Arial" w:eastAsia="Arial" w:hAnsi="Arial" w:cs="Arial" w:hint="default"/>
        <w:spacing w:val="-1"/>
        <w:w w:val="100"/>
        <w:sz w:val="22"/>
        <w:szCs w:val="22"/>
        <w:lang w:val="en-US" w:eastAsia="en-US" w:bidi="ar-SA"/>
      </w:rPr>
    </w:lvl>
    <w:lvl w:ilvl="1" w:tplc="F54050FA">
      <w:numFmt w:val="bullet"/>
      <w:lvlText w:val="•"/>
      <w:lvlJc w:val="left"/>
      <w:pPr>
        <w:ind w:left="1285" w:hanging="361"/>
      </w:pPr>
      <w:rPr>
        <w:rFonts w:hint="default"/>
        <w:lang w:val="en-US" w:eastAsia="en-US" w:bidi="ar-SA"/>
      </w:rPr>
    </w:lvl>
    <w:lvl w:ilvl="2" w:tplc="167E5F40">
      <w:numFmt w:val="bullet"/>
      <w:lvlText w:val="•"/>
      <w:lvlJc w:val="left"/>
      <w:pPr>
        <w:ind w:left="1751" w:hanging="361"/>
      </w:pPr>
      <w:rPr>
        <w:rFonts w:hint="default"/>
        <w:lang w:val="en-US" w:eastAsia="en-US" w:bidi="ar-SA"/>
      </w:rPr>
    </w:lvl>
    <w:lvl w:ilvl="3" w:tplc="9762EE1C">
      <w:numFmt w:val="bullet"/>
      <w:lvlText w:val="•"/>
      <w:lvlJc w:val="left"/>
      <w:pPr>
        <w:ind w:left="2217" w:hanging="361"/>
      </w:pPr>
      <w:rPr>
        <w:rFonts w:hint="default"/>
        <w:lang w:val="en-US" w:eastAsia="en-US" w:bidi="ar-SA"/>
      </w:rPr>
    </w:lvl>
    <w:lvl w:ilvl="4" w:tplc="320A358E">
      <w:numFmt w:val="bullet"/>
      <w:lvlText w:val="•"/>
      <w:lvlJc w:val="left"/>
      <w:pPr>
        <w:ind w:left="2683" w:hanging="361"/>
      </w:pPr>
      <w:rPr>
        <w:rFonts w:hint="default"/>
        <w:lang w:val="en-US" w:eastAsia="en-US" w:bidi="ar-SA"/>
      </w:rPr>
    </w:lvl>
    <w:lvl w:ilvl="5" w:tplc="E9B427DA">
      <w:numFmt w:val="bullet"/>
      <w:lvlText w:val="•"/>
      <w:lvlJc w:val="left"/>
      <w:pPr>
        <w:ind w:left="3149" w:hanging="361"/>
      </w:pPr>
      <w:rPr>
        <w:rFonts w:hint="default"/>
        <w:lang w:val="en-US" w:eastAsia="en-US" w:bidi="ar-SA"/>
      </w:rPr>
    </w:lvl>
    <w:lvl w:ilvl="6" w:tplc="3524083C">
      <w:numFmt w:val="bullet"/>
      <w:lvlText w:val="•"/>
      <w:lvlJc w:val="left"/>
      <w:pPr>
        <w:ind w:left="3615" w:hanging="361"/>
      </w:pPr>
      <w:rPr>
        <w:rFonts w:hint="default"/>
        <w:lang w:val="en-US" w:eastAsia="en-US" w:bidi="ar-SA"/>
      </w:rPr>
    </w:lvl>
    <w:lvl w:ilvl="7" w:tplc="5E820580">
      <w:numFmt w:val="bullet"/>
      <w:lvlText w:val="•"/>
      <w:lvlJc w:val="left"/>
      <w:pPr>
        <w:ind w:left="4081" w:hanging="361"/>
      </w:pPr>
      <w:rPr>
        <w:rFonts w:hint="default"/>
        <w:lang w:val="en-US" w:eastAsia="en-US" w:bidi="ar-SA"/>
      </w:rPr>
    </w:lvl>
    <w:lvl w:ilvl="8" w:tplc="47DE7B08">
      <w:numFmt w:val="bullet"/>
      <w:lvlText w:val="•"/>
      <w:lvlJc w:val="left"/>
      <w:pPr>
        <w:ind w:left="4547" w:hanging="361"/>
      </w:pPr>
      <w:rPr>
        <w:rFonts w:hint="default"/>
        <w:lang w:val="en-US" w:eastAsia="en-US" w:bidi="ar-SA"/>
      </w:rPr>
    </w:lvl>
  </w:abstractNum>
  <w:abstractNum w:abstractNumId="1" w15:restartNumberingAfterBreak="0">
    <w:nsid w:val="0F753572"/>
    <w:multiLevelType w:val="hybridMultilevel"/>
    <w:tmpl w:val="3650E968"/>
    <w:lvl w:ilvl="0" w:tplc="02385A94">
      <w:numFmt w:val="bullet"/>
      <w:lvlText w:val=""/>
      <w:lvlJc w:val="left"/>
      <w:pPr>
        <w:ind w:left="725" w:hanging="361"/>
      </w:pPr>
      <w:rPr>
        <w:rFonts w:ascii="Symbol" w:eastAsia="Symbol" w:hAnsi="Symbol" w:cs="Symbol" w:hint="default"/>
        <w:w w:val="100"/>
        <w:sz w:val="22"/>
        <w:szCs w:val="22"/>
        <w:lang w:val="en-US" w:eastAsia="en-US" w:bidi="ar-SA"/>
      </w:rPr>
    </w:lvl>
    <w:lvl w:ilvl="1" w:tplc="5BA42FE6">
      <w:numFmt w:val="bullet"/>
      <w:lvlText w:val="•"/>
      <w:lvlJc w:val="left"/>
      <w:pPr>
        <w:ind w:left="1195" w:hanging="361"/>
      </w:pPr>
      <w:rPr>
        <w:rFonts w:hint="default"/>
        <w:lang w:val="en-US" w:eastAsia="en-US" w:bidi="ar-SA"/>
      </w:rPr>
    </w:lvl>
    <w:lvl w:ilvl="2" w:tplc="E3AC037E">
      <w:numFmt w:val="bullet"/>
      <w:lvlText w:val="•"/>
      <w:lvlJc w:val="left"/>
      <w:pPr>
        <w:ind w:left="1671" w:hanging="361"/>
      </w:pPr>
      <w:rPr>
        <w:rFonts w:hint="default"/>
        <w:lang w:val="en-US" w:eastAsia="en-US" w:bidi="ar-SA"/>
      </w:rPr>
    </w:lvl>
    <w:lvl w:ilvl="3" w:tplc="7414826E">
      <w:numFmt w:val="bullet"/>
      <w:lvlText w:val="•"/>
      <w:lvlJc w:val="left"/>
      <w:pPr>
        <w:ind w:left="2147" w:hanging="361"/>
      </w:pPr>
      <w:rPr>
        <w:rFonts w:hint="default"/>
        <w:lang w:val="en-US" w:eastAsia="en-US" w:bidi="ar-SA"/>
      </w:rPr>
    </w:lvl>
    <w:lvl w:ilvl="4" w:tplc="2B2A72F6">
      <w:numFmt w:val="bullet"/>
      <w:lvlText w:val="•"/>
      <w:lvlJc w:val="left"/>
      <w:pPr>
        <w:ind w:left="2623" w:hanging="361"/>
      </w:pPr>
      <w:rPr>
        <w:rFonts w:hint="default"/>
        <w:lang w:val="en-US" w:eastAsia="en-US" w:bidi="ar-SA"/>
      </w:rPr>
    </w:lvl>
    <w:lvl w:ilvl="5" w:tplc="DE8C222E">
      <w:numFmt w:val="bullet"/>
      <w:lvlText w:val="•"/>
      <w:lvlJc w:val="left"/>
      <w:pPr>
        <w:ind w:left="3099" w:hanging="361"/>
      </w:pPr>
      <w:rPr>
        <w:rFonts w:hint="default"/>
        <w:lang w:val="en-US" w:eastAsia="en-US" w:bidi="ar-SA"/>
      </w:rPr>
    </w:lvl>
    <w:lvl w:ilvl="6" w:tplc="B4525AEA">
      <w:numFmt w:val="bullet"/>
      <w:lvlText w:val="•"/>
      <w:lvlJc w:val="left"/>
      <w:pPr>
        <w:ind w:left="3575" w:hanging="361"/>
      </w:pPr>
      <w:rPr>
        <w:rFonts w:hint="default"/>
        <w:lang w:val="en-US" w:eastAsia="en-US" w:bidi="ar-SA"/>
      </w:rPr>
    </w:lvl>
    <w:lvl w:ilvl="7" w:tplc="4B265538">
      <w:numFmt w:val="bullet"/>
      <w:lvlText w:val="•"/>
      <w:lvlJc w:val="left"/>
      <w:pPr>
        <w:ind w:left="4051" w:hanging="361"/>
      </w:pPr>
      <w:rPr>
        <w:rFonts w:hint="default"/>
        <w:lang w:val="en-US" w:eastAsia="en-US" w:bidi="ar-SA"/>
      </w:rPr>
    </w:lvl>
    <w:lvl w:ilvl="8" w:tplc="99AE4672">
      <w:numFmt w:val="bullet"/>
      <w:lvlText w:val="•"/>
      <w:lvlJc w:val="left"/>
      <w:pPr>
        <w:ind w:left="4527" w:hanging="361"/>
      </w:pPr>
      <w:rPr>
        <w:rFonts w:hint="default"/>
        <w:lang w:val="en-US" w:eastAsia="en-US" w:bidi="ar-SA"/>
      </w:rPr>
    </w:lvl>
  </w:abstractNum>
  <w:abstractNum w:abstractNumId="2" w15:restartNumberingAfterBreak="0">
    <w:nsid w:val="167A0A60"/>
    <w:multiLevelType w:val="hybridMultilevel"/>
    <w:tmpl w:val="69EC1A28"/>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start w:val="1"/>
      <w:numFmt w:val="bullet"/>
      <w:lvlText w:val=""/>
      <w:lvlJc w:val="left"/>
      <w:pPr>
        <w:ind w:left="2268" w:hanging="360"/>
      </w:pPr>
      <w:rPr>
        <w:rFonts w:ascii="Wingdings" w:hAnsi="Wingdings" w:hint="default"/>
      </w:rPr>
    </w:lvl>
    <w:lvl w:ilvl="3" w:tplc="04090001">
      <w:start w:val="1"/>
      <w:numFmt w:val="bullet"/>
      <w:lvlText w:val=""/>
      <w:lvlJc w:val="left"/>
      <w:pPr>
        <w:ind w:left="2988" w:hanging="360"/>
      </w:pPr>
      <w:rPr>
        <w:rFonts w:ascii="Symbol" w:hAnsi="Symbol" w:hint="default"/>
      </w:rPr>
    </w:lvl>
    <w:lvl w:ilvl="4" w:tplc="04090003">
      <w:start w:val="1"/>
      <w:numFmt w:val="bullet"/>
      <w:lvlText w:val="o"/>
      <w:lvlJc w:val="left"/>
      <w:pPr>
        <w:ind w:left="3708" w:hanging="360"/>
      </w:pPr>
      <w:rPr>
        <w:rFonts w:ascii="Courier New" w:hAnsi="Courier New" w:cs="Courier New" w:hint="default"/>
      </w:rPr>
    </w:lvl>
    <w:lvl w:ilvl="5" w:tplc="04090005">
      <w:start w:val="1"/>
      <w:numFmt w:val="bullet"/>
      <w:lvlText w:val=""/>
      <w:lvlJc w:val="left"/>
      <w:pPr>
        <w:ind w:left="4428" w:hanging="360"/>
      </w:pPr>
      <w:rPr>
        <w:rFonts w:ascii="Wingdings" w:hAnsi="Wingdings" w:hint="default"/>
      </w:rPr>
    </w:lvl>
    <w:lvl w:ilvl="6" w:tplc="04090001">
      <w:start w:val="1"/>
      <w:numFmt w:val="bullet"/>
      <w:lvlText w:val=""/>
      <w:lvlJc w:val="left"/>
      <w:pPr>
        <w:ind w:left="5148" w:hanging="360"/>
      </w:pPr>
      <w:rPr>
        <w:rFonts w:ascii="Symbol" w:hAnsi="Symbol" w:hint="default"/>
      </w:rPr>
    </w:lvl>
    <w:lvl w:ilvl="7" w:tplc="04090003">
      <w:start w:val="1"/>
      <w:numFmt w:val="bullet"/>
      <w:lvlText w:val="o"/>
      <w:lvlJc w:val="left"/>
      <w:pPr>
        <w:ind w:left="5868" w:hanging="360"/>
      </w:pPr>
      <w:rPr>
        <w:rFonts w:ascii="Courier New" w:hAnsi="Courier New" w:cs="Courier New" w:hint="default"/>
      </w:rPr>
    </w:lvl>
    <w:lvl w:ilvl="8" w:tplc="04090005">
      <w:start w:val="1"/>
      <w:numFmt w:val="bullet"/>
      <w:lvlText w:val=""/>
      <w:lvlJc w:val="left"/>
      <w:pPr>
        <w:ind w:left="6588" w:hanging="360"/>
      </w:pPr>
      <w:rPr>
        <w:rFonts w:ascii="Wingdings" w:hAnsi="Wingdings" w:hint="default"/>
      </w:rPr>
    </w:lvl>
  </w:abstractNum>
  <w:abstractNum w:abstractNumId="3" w15:restartNumberingAfterBreak="0">
    <w:nsid w:val="19AC0DAF"/>
    <w:multiLevelType w:val="hybridMultilevel"/>
    <w:tmpl w:val="D2B87642"/>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220A0779"/>
    <w:multiLevelType w:val="hybridMultilevel"/>
    <w:tmpl w:val="1AAC78EA"/>
    <w:lvl w:ilvl="0" w:tplc="FFFFFFFF">
      <w:start w:val="1"/>
      <w:numFmt w:val="decimal"/>
      <w:lvlText w:val="%1."/>
      <w:lvlJc w:val="left"/>
      <w:pPr>
        <w:ind w:left="828" w:hanging="361"/>
      </w:pPr>
      <w:rPr>
        <w:rFonts w:ascii="Arial" w:eastAsia="Arial" w:hAnsi="Arial" w:cs="Arial" w:hint="default"/>
        <w:spacing w:val="-1"/>
        <w:w w:val="100"/>
        <w:sz w:val="22"/>
        <w:szCs w:val="22"/>
        <w:lang w:val="en-US" w:eastAsia="en-US" w:bidi="ar-SA"/>
      </w:rPr>
    </w:lvl>
    <w:lvl w:ilvl="1" w:tplc="FFFFFFFF">
      <w:numFmt w:val="bullet"/>
      <w:lvlText w:val="•"/>
      <w:lvlJc w:val="left"/>
      <w:pPr>
        <w:ind w:left="1285" w:hanging="361"/>
      </w:pPr>
      <w:rPr>
        <w:rFonts w:hint="default"/>
        <w:lang w:val="en-US" w:eastAsia="en-US" w:bidi="ar-SA"/>
      </w:rPr>
    </w:lvl>
    <w:lvl w:ilvl="2" w:tplc="FFFFFFFF">
      <w:numFmt w:val="bullet"/>
      <w:lvlText w:val="•"/>
      <w:lvlJc w:val="left"/>
      <w:pPr>
        <w:ind w:left="1751" w:hanging="361"/>
      </w:pPr>
      <w:rPr>
        <w:rFonts w:hint="default"/>
        <w:lang w:val="en-US" w:eastAsia="en-US" w:bidi="ar-SA"/>
      </w:rPr>
    </w:lvl>
    <w:lvl w:ilvl="3" w:tplc="FFFFFFFF">
      <w:numFmt w:val="bullet"/>
      <w:lvlText w:val="•"/>
      <w:lvlJc w:val="left"/>
      <w:pPr>
        <w:ind w:left="2217" w:hanging="361"/>
      </w:pPr>
      <w:rPr>
        <w:rFonts w:hint="default"/>
        <w:lang w:val="en-US" w:eastAsia="en-US" w:bidi="ar-SA"/>
      </w:rPr>
    </w:lvl>
    <w:lvl w:ilvl="4" w:tplc="FFFFFFFF">
      <w:numFmt w:val="bullet"/>
      <w:lvlText w:val="•"/>
      <w:lvlJc w:val="left"/>
      <w:pPr>
        <w:ind w:left="2683" w:hanging="361"/>
      </w:pPr>
      <w:rPr>
        <w:rFonts w:hint="default"/>
        <w:lang w:val="en-US" w:eastAsia="en-US" w:bidi="ar-SA"/>
      </w:rPr>
    </w:lvl>
    <w:lvl w:ilvl="5" w:tplc="FFFFFFFF">
      <w:numFmt w:val="bullet"/>
      <w:lvlText w:val="•"/>
      <w:lvlJc w:val="left"/>
      <w:pPr>
        <w:ind w:left="3149" w:hanging="361"/>
      </w:pPr>
      <w:rPr>
        <w:rFonts w:hint="default"/>
        <w:lang w:val="en-US" w:eastAsia="en-US" w:bidi="ar-SA"/>
      </w:rPr>
    </w:lvl>
    <w:lvl w:ilvl="6" w:tplc="FFFFFFFF">
      <w:numFmt w:val="bullet"/>
      <w:lvlText w:val="•"/>
      <w:lvlJc w:val="left"/>
      <w:pPr>
        <w:ind w:left="3615" w:hanging="361"/>
      </w:pPr>
      <w:rPr>
        <w:rFonts w:hint="default"/>
        <w:lang w:val="en-US" w:eastAsia="en-US" w:bidi="ar-SA"/>
      </w:rPr>
    </w:lvl>
    <w:lvl w:ilvl="7" w:tplc="FFFFFFFF">
      <w:numFmt w:val="bullet"/>
      <w:lvlText w:val="•"/>
      <w:lvlJc w:val="left"/>
      <w:pPr>
        <w:ind w:left="4081" w:hanging="361"/>
      </w:pPr>
      <w:rPr>
        <w:rFonts w:hint="default"/>
        <w:lang w:val="en-US" w:eastAsia="en-US" w:bidi="ar-SA"/>
      </w:rPr>
    </w:lvl>
    <w:lvl w:ilvl="8" w:tplc="FFFFFFFF">
      <w:numFmt w:val="bullet"/>
      <w:lvlText w:val="•"/>
      <w:lvlJc w:val="left"/>
      <w:pPr>
        <w:ind w:left="4547" w:hanging="361"/>
      </w:pPr>
      <w:rPr>
        <w:rFonts w:hint="default"/>
        <w:lang w:val="en-US" w:eastAsia="en-US" w:bidi="ar-SA"/>
      </w:rPr>
    </w:lvl>
  </w:abstractNum>
  <w:abstractNum w:abstractNumId="5" w15:restartNumberingAfterBreak="0">
    <w:nsid w:val="2B26013D"/>
    <w:multiLevelType w:val="hybridMultilevel"/>
    <w:tmpl w:val="5650BB5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257022F"/>
    <w:multiLevelType w:val="multilevel"/>
    <w:tmpl w:val="88AE26EC"/>
    <w:lvl w:ilvl="0">
      <w:start w:val="1"/>
      <w:numFmt w:val="decimal"/>
      <w:lvlText w:val="%1."/>
      <w:lvlJc w:val="left"/>
      <w:pPr>
        <w:ind w:left="360" w:hanging="360"/>
      </w:pPr>
      <w:rPr>
        <w:rFonts w:hint="default"/>
        <w:b/>
        <w:bCs w:val="0"/>
      </w:rPr>
    </w:lvl>
    <w:lvl w:ilvl="1">
      <w:start w:val="1"/>
      <w:numFmt w:val="decimal"/>
      <w:pStyle w:val="AKFsub"/>
      <w:lvlText w:val="%1.%2."/>
      <w:lvlJc w:val="left"/>
      <w:pPr>
        <w:ind w:left="792" w:hanging="432"/>
      </w:pPr>
      <w:rPr>
        <w:rFonts w:ascii="Arial" w:hAnsi="Arial" w:cs="Arial" w:hint="default"/>
        <w:b/>
        <w:bCs w:val="0"/>
        <w:i w:val="0"/>
        <w:iCs w:val="0"/>
        <w:sz w:val="24"/>
        <w:szCs w:val="24"/>
      </w:rPr>
    </w:lvl>
    <w:lvl w:ilvl="2">
      <w:start w:val="1"/>
      <w:numFmt w:val="decimal"/>
      <w:pStyle w:val="AKFsubsubnotTOC"/>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F71F20"/>
    <w:multiLevelType w:val="hybridMultilevel"/>
    <w:tmpl w:val="693A35AE"/>
    <w:lvl w:ilvl="0" w:tplc="D85822AE">
      <w:numFmt w:val="bullet"/>
      <w:lvlText w:val=""/>
      <w:lvlJc w:val="left"/>
      <w:pPr>
        <w:ind w:left="480" w:hanging="360"/>
      </w:pPr>
      <w:rPr>
        <w:rFonts w:ascii="Symbol" w:eastAsia="Symbol" w:hAnsi="Symbol" w:cs="Symbol" w:hint="default"/>
        <w:w w:val="100"/>
        <w:sz w:val="22"/>
        <w:szCs w:val="22"/>
        <w:lang w:val="en-US" w:eastAsia="en-US" w:bidi="ar-SA"/>
      </w:rPr>
    </w:lvl>
    <w:lvl w:ilvl="1" w:tplc="D9402572">
      <w:numFmt w:val="bullet"/>
      <w:lvlText w:val="•"/>
      <w:lvlJc w:val="left"/>
      <w:pPr>
        <w:ind w:left="1456" w:hanging="360"/>
      </w:pPr>
      <w:rPr>
        <w:rFonts w:hint="default"/>
        <w:lang w:val="en-US" w:eastAsia="en-US" w:bidi="ar-SA"/>
      </w:rPr>
    </w:lvl>
    <w:lvl w:ilvl="2" w:tplc="00F41344">
      <w:numFmt w:val="bullet"/>
      <w:lvlText w:val="•"/>
      <w:lvlJc w:val="left"/>
      <w:pPr>
        <w:ind w:left="2432" w:hanging="360"/>
      </w:pPr>
      <w:rPr>
        <w:rFonts w:hint="default"/>
        <w:lang w:val="en-US" w:eastAsia="en-US" w:bidi="ar-SA"/>
      </w:rPr>
    </w:lvl>
    <w:lvl w:ilvl="3" w:tplc="5B08B69E">
      <w:numFmt w:val="bullet"/>
      <w:lvlText w:val="•"/>
      <w:lvlJc w:val="left"/>
      <w:pPr>
        <w:ind w:left="3408" w:hanging="360"/>
      </w:pPr>
      <w:rPr>
        <w:rFonts w:hint="default"/>
        <w:lang w:val="en-US" w:eastAsia="en-US" w:bidi="ar-SA"/>
      </w:rPr>
    </w:lvl>
    <w:lvl w:ilvl="4" w:tplc="45B80AFC">
      <w:numFmt w:val="bullet"/>
      <w:lvlText w:val="•"/>
      <w:lvlJc w:val="left"/>
      <w:pPr>
        <w:ind w:left="4384" w:hanging="360"/>
      </w:pPr>
      <w:rPr>
        <w:rFonts w:hint="default"/>
        <w:lang w:val="en-US" w:eastAsia="en-US" w:bidi="ar-SA"/>
      </w:rPr>
    </w:lvl>
    <w:lvl w:ilvl="5" w:tplc="CFE66620">
      <w:numFmt w:val="bullet"/>
      <w:lvlText w:val="•"/>
      <w:lvlJc w:val="left"/>
      <w:pPr>
        <w:ind w:left="5360" w:hanging="360"/>
      </w:pPr>
      <w:rPr>
        <w:rFonts w:hint="default"/>
        <w:lang w:val="en-US" w:eastAsia="en-US" w:bidi="ar-SA"/>
      </w:rPr>
    </w:lvl>
    <w:lvl w:ilvl="6" w:tplc="41E09A9C">
      <w:numFmt w:val="bullet"/>
      <w:lvlText w:val="•"/>
      <w:lvlJc w:val="left"/>
      <w:pPr>
        <w:ind w:left="6336" w:hanging="360"/>
      </w:pPr>
      <w:rPr>
        <w:rFonts w:hint="default"/>
        <w:lang w:val="en-US" w:eastAsia="en-US" w:bidi="ar-SA"/>
      </w:rPr>
    </w:lvl>
    <w:lvl w:ilvl="7" w:tplc="FA64784C">
      <w:numFmt w:val="bullet"/>
      <w:lvlText w:val="•"/>
      <w:lvlJc w:val="left"/>
      <w:pPr>
        <w:ind w:left="7312" w:hanging="360"/>
      </w:pPr>
      <w:rPr>
        <w:rFonts w:hint="default"/>
        <w:lang w:val="en-US" w:eastAsia="en-US" w:bidi="ar-SA"/>
      </w:rPr>
    </w:lvl>
    <w:lvl w:ilvl="8" w:tplc="736A07CC">
      <w:numFmt w:val="bullet"/>
      <w:lvlText w:val="•"/>
      <w:lvlJc w:val="left"/>
      <w:pPr>
        <w:ind w:left="8288" w:hanging="360"/>
      </w:pPr>
      <w:rPr>
        <w:rFonts w:hint="default"/>
        <w:lang w:val="en-US" w:eastAsia="en-US" w:bidi="ar-SA"/>
      </w:rPr>
    </w:lvl>
  </w:abstractNum>
  <w:abstractNum w:abstractNumId="8" w15:restartNumberingAfterBreak="0">
    <w:nsid w:val="3D41385D"/>
    <w:multiLevelType w:val="multilevel"/>
    <w:tmpl w:val="A0845FDC"/>
    <w:lvl w:ilvl="0">
      <w:start w:val="1"/>
      <w:numFmt w:val="decimal"/>
      <w:lvlText w:val="%1."/>
      <w:lvlJc w:val="left"/>
      <w:pPr>
        <w:ind w:left="360" w:hanging="360"/>
      </w:pPr>
    </w:lvl>
    <w:lvl w:ilvl="1">
      <w:start w:val="1"/>
      <w:numFmt w:val="decimal"/>
      <w:lvlText w:val="%1.%2."/>
      <w:lvlJc w:val="left"/>
      <w:pPr>
        <w:ind w:left="792" w:hanging="432"/>
      </w:pPr>
      <w:rPr>
        <w:i w:val="0"/>
        <w:iCs w:val="0"/>
        <w:sz w:val="24"/>
        <w:szCs w:val="24"/>
      </w:rPr>
    </w:lvl>
    <w:lvl w:ilvl="2">
      <w:start w:val="1"/>
      <w:numFmt w:val="decimal"/>
      <w:pStyle w:val="AKFSubsub"/>
      <w:lvlText w:val="%1.%2.%3."/>
      <w:lvlJc w:val="left"/>
      <w:pPr>
        <w:ind w:left="1224" w:hanging="504"/>
      </w:pPr>
      <w:rPr>
        <w:b/>
        <w:bCs/>
        <w:sz w:val="22"/>
        <w:szCs w:val="22"/>
      </w:rPr>
    </w:lvl>
    <w:lvl w:ilvl="3">
      <w:start w:val="1"/>
      <w:numFmt w:val="decimal"/>
      <w:lvlText w:val="%1.%2.%3.%4."/>
      <w:lvlJc w:val="left"/>
      <w:pPr>
        <w:ind w:left="1728" w:hanging="648"/>
      </w:pPr>
      <w:rPr>
        <w:rFonts w:ascii="Arial" w:hAnsi="Arial" w:cs="Arial" w:hint="default"/>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BC2782"/>
    <w:multiLevelType w:val="hybridMultilevel"/>
    <w:tmpl w:val="CAA258A8"/>
    <w:lvl w:ilvl="0" w:tplc="C21AD802">
      <w:numFmt w:val="bullet"/>
      <w:lvlText w:val=""/>
      <w:lvlJc w:val="left"/>
      <w:pPr>
        <w:ind w:left="725" w:hanging="361"/>
      </w:pPr>
      <w:rPr>
        <w:rFonts w:ascii="Symbol" w:eastAsia="Symbol" w:hAnsi="Symbol" w:cs="Symbol" w:hint="default"/>
        <w:w w:val="100"/>
        <w:sz w:val="22"/>
        <w:szCs w:val="22"/>
        <w:lang w:val="en-US" w:eastAsia="en-US" w:bidi="ar-SA"/>
      </w:rPr>
    </w:lvl>
    <w:lvl w:ilvl="1" w:tplc="8108B374">
      <w:numFmt w:val="bullet"/>
      <w:lvlText w:val="•"/>
      <w:lvlJc w:val="left"/>
      <w:pPr>
        <w:ind w:left="1195" w:hanging="361"/>
      </w:pPr>
      <w:rPr>
        <w:rFonts w:hint="default"/>
        <w:lang w:val="en-US" w:eastAsia="en-US" w:bidi="ar-SA"/>
      </w:rPr>
    </w:lvl>
    <w:lvl w:ilvl="2" w:tplc="EC38E92E">
      <w:numFmt w:val="bullet"/>
      <w:lvlText w:val="•"/>
      <w:lvlJc w:val="left"/>
      <w:pPr>
        <w:ind w:left="1671" w:hanging="361"/>
      </w:pPr>
      <w:rPr>
        <w:rFonts w:hint="default"/>
        <w:lang w:val="en-US" w:eastAsia="en-US" w:bidi="ar-SA"/>
      </w:rPr>
    </w:lvl>
    <w:lvl w:ilvl="3" w:tplc="1C449D7E">
      <w:numFmt w:val="bullet"/>
      <w:lvlText w:val="•"/>
      <w:lvlJc w:val="left"/>
      <w:pPr>
        <w:ind w:left="2147" w:hanging="361"/>
      </w:pPr>
      <w:rPr>
        <w:rFonts w:hint="default"/>
        <w:lang w:val="en-US" w:eastAsia="en-US" w:bidi="ar-SA"/>
      </w:rPr>
    </w:lvl>
    <w:lvl w:ilvl="4" w:tplc="56206656">
      <w:numFmt w:val="bullet"/>
      <w:lvlText w:val="•"/>
      <w:lvlJc w:val="left"/>
      <w:pPr>
        <w:ind w:left="2623" w:hanging="361"/>
      </w:pPr>
      <w:rPr>
        <w:rFonts w:hint="default"/>
        <w:lang w:val="en-US" w:eastAsia="en-US" w:bidi="ar-SA"/>
      </w:rPr>
    </w:lvl>
    <w:lvl w:ilvl="5" w:tplc="861AF884">
      <w:numFmt w:val="bullet"/>
      <w:lvlText w:val="•"/>
      <w:lvlJc w:val="left"/>
      <w:pPr>
        <w:ind w:left="3099" w:hanging="361"/>
      </w:pPr>
      <w:rPr>
        <w:rFonts w:hint="default"/>
        <w:lang w:val="en-US" w:eastAsia="en-US" w:bidi="ar-SA"/>
      </w:rPr>
    </w:lvl>
    <w:lvl w:ilvl="6" w:tplc="8F9252AA">
      <w:numFmt w:val="bullet"/>
      <w:lvlText w:val="•"/>
      <w:lvlJc w:val="left"/>
      <w:pPr>
        <w:ind w:left="3575" w:hanging="361"/>
      </w:pPr>
      <w:rPr>
        <w:rFonts w:hint="default"/>
        <w:lang w:val="en-US" w:eastAsia="en-US" w:bidi="ar-SA"/>
      </w:rPr>
    </w:lvl>
    <w:lvl w:ilvl="7" w:tplc="D7D82918">
      <w:numFmt w:val="bullet"/>
      <w:lvlText w:val="•"/>
      <w:lvlJc w:val="left"/>
      <w:pPr>
        <w:ind w:left="4051" w:hanging="361"/>
      </w:pPr>
      <w:rPr>
        <w:rFonts w:hint="default"/>
        <w:lang w:val="en-US" w:eastAsia="en-US" w:bidi="ar-SA"/>
      </w:rPr>
    </w:lvl>
    <w:lvl w:ilvl="8" w:tplc="C9544662">
      <w:numFmt w:val="bullet"/>
      <w:lvlText w:val="•"/>
      <w:lvlJc w:val="left"/>
      <w:pPr>
        <w:ind w:left="4527" w:hanging="361"/>
      </w:pPr>
      <w:rPr>
        <w:rFonts w:hint="default"/>
        <w:lang w:val="en-US" w:eastAsia="en-US" w:bidi="ar-SA"/>
      </w:rPr>
    </w:lvl>
  </w:abstractNum>
  <w:abstractNum w:abstractNumId="10" w15:restartNumberingAfterBreak="0">
    <w:nsid w:val="3E626C9E"/>
    <w:multiLevelType w:val="multilevel"/>
    <w:tmpl w:val="8FAC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12" w15:restartNumberingAfterBreak="0">
    <w:nsid w:val="4E915F18"/>
    <w:multiLevelType w:val="hybridMultilevel"/>
    <w:tmpl w:val="C4D82D1A"/>
    <w:lvl w:ilvl="0" w:tplc="04090001">
      <w:start w:val="1"/>
      <w:numFmt w:val="bullet"/>
      <w:lvlText w:val=""/>
      <w:lvlJc w:val="left"/>
      <w:pPr>
        <w:ind w:left="2491" w:hanging="360"/>
      </w:pPr>
      <w:rPr>
        <w:rFonts w:ascii="Symbol" w:hAnsi="Symbol"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abstractNum w:abstractNumId="13" w15:restartNumberingAfterBreak="0">
    <w:nsid w:val="52EE45BC"/>
    <w:multiLevelType w:val="hybridMultilevel"/>
    <w:tmpl w:val="059697A0"/>
    <w:lvl w:ilvl="0" w:tplc="41166976">
      <w:numFmt w:val="bullet"/>
      <w:lvlText w:val=""/>
      <w:lvlJc w:val="left"/>
      <w:pPr>
        <w:ind w:left="828" w:hanging="361"/>
      </w:pPr>
      <w:rPr>
        <w:rFonts w:ascii="Symbol" w:eastAsia="Symbol" w:hAnsi="Symbol" w:cs="Symbol" w:hint="default"/>
        <w:w w:val="100"/>
        <w:sz w:val="22"/>
        <w:szCs w:val="22"/>
        <w:lang w:val="en-US" w:eastAsia="en-US" w:bidi="ar-SA"/>
      </w:rPr>
    </w:lvl>
    <w:lvl w:ilvl="1" w:tplc="5812FBFC">
      <w:numFmt w:val="bullet"/>
      <w:lvlText w:val=""/>
      <w:lvlJc w:val="left"/>
      <w:pPr>
        <w:ind w:left="1188" w:hanging="360"/>
      </w:pPr>
      <w:rPr>
        <w:rFonts w:ascii="Symbol" w:eastAsia="Symbol" w:hAnsi="Symbol" w:cs="Symbol" w:hint="default"/>
        <w:w w:val="100"/>
        <w:sz w:val="22"/>
        <w:szCs w:val="22"/>
        <w:lang w:val="en-US" w:eastAsia="en-US" w:bidi="ar-SA"/>
      </w:rPr>
    </w:lvl>
    <w:lvl w:ilvl="2" w:tplc="7CD8D8F8">
      <w:numFmt w:val="bullet"/>
      <w:lvlText w:val="•"/>
      <w:lvlJc w:val="left"/>
      <w:pPr>
        <w:ind w:left="1657" w:hanging="360"/>
      </w:pPr>
      <w:rPr>
        <w:rFonts w:hint="default"/>
        <w:lang w:val="en-US" w:eastAsia="en-US" w:bidi="ar-SA"/>
      </w:rPr>
    </w:lvl>
    <w:lvl w:ilvl="3" w:tplc="1EA28E88">
      <w:numFmt w:val="bullet"/>
      <w:lvlText w:val="•"/>
      <w:lvlJc w:val="left"/>
      <w:pPr>
        <w:ind w:left="2135" w:hanging="360"/>
      </w:pPr>
      <w:rPr>
        <w:rFonts w:hint="default"/>
        <w:lang w:val="en-US" w:eastAsia="en-US" w:bidi="ar-SA"/>
      </w:rPr>
    </w:lvl>
    <w:lvl w:ilvl="4" w:tplc="885CB1B8">
      <w:numFmt w:val="bullet"/>
      <w:lvlText w:val="•"/>
      <w:lvlJc w:val="left"/>
      <w:pPr>
        <w:ind w:left="2613" w:hanging="360"/>
      </w:pPr>
      <w:rPr>
        <w:rFonts w:hint="default"/>
        <w:lang w:val="en-US" w:eastAsia="en-US" w:bidi="ar-SA"/>
      </w:rPr>
    </w:lvl>
    <w:lvl w:ilvl="5" w:tplc="604CBFBA">
      <w:numFmt w:val="bullet"/>
      <w:lvlText w:val="•"/>
      <w:lvlJc w:val="left"/>
      <w:pPr>
        <w:ind w:left="3090" w:hanging="360"/>
      </w:pPr>
      <w:rPr>
        <w:rFonts w:hint="default"/>
        <w:lang w:val="en-US" w:eastAsia="en-US" w:bidi="ar-SA"/>
      </w:rPr>
    </w:lvl>
    <w:lvl w:ilvl="6" w:tplc="CE3C48A6">
      <w:numFmt w:val="bullet"/>
      <w:lvlText w:val="•"/>
      <w:lvlJc w:val="left"/>
      <w:pPr>
        <w:ind w:left="3568" w:hanging="360"/>
      </w:pPr>
      <w:rPr>
        <w:rFonts w:hint="default"/>
        <w:lang w:val="en-US" w:eastAsia="en-US" w:bidi="ar-SA"/>
      </w:rPr>
    </w:lvl>
    <w:lvl w:ilvl="7" w:tplc="9C6A3BCC">
      <w:numFmt w:val="bullet"/>
      <w:lvlText w:val="•"/>
      <w:lvlJc w:val="left"/>
      <w:pPr>
        <w:ind w:left="4046" w:hanging="360"/>
      </w:pPr>
      <w:rPr>
        <w:rFonts w:hint="default"/>
        <w:lang w:val="en-US" w:eastAsia="en-US" w:bidi="ar-SA"/>
      </w:rPr>
    </w:lvl>
    <w:lvl w:ilvl="8" w:tplc="7CA2EA1C">
      <w:numFmt w:val="bullet"/>
      <w:lvlText w:val="•"/>
      <w:lvlJc w:val="left"/>
      <w:pPr>
        <w:ind w:left="4523" w:hanging="360"/>
      </w:pPr>
      <w:rPr>
        <w:rFonts w:hint="default"/>
        <w:lang w:val="en-US" w:eastAsia="en-US" w:bidi="ar-SA"/>
      </w:rPr>
    </w:lvl>
  </w:abstractNum>
  <w:abstractNum w:abstractNumId="14" w15:restartNumberingAfterBreak="0">
    <w:nsid w:val="5B7A1E73"/>
    <w:multiLevelType w:val="multilevel"/>
    <w:tmpl w:val="941426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Calibri" w:hAnsi="Calibri" w:cs="Calibri" w:hint="default"/>
        <w:b w:val="0"/>
        <w:bCs w:val="0"/>
      </w:rPr>
    </w:lvl>
    <w:lvl w:ilvl="3">
      <w:start w:val="1"/>
      <w:numFmt w:val="decimal"/>
      <w:lvlText w:val="%1.%2.%3.%4."/>
      <w:lvlJc w:val="left"/>
      <w:pPr>
        <w:ind w:left="325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297B35"/>
    <w:multiLevelType w:val="hybridMultilevel"/>
    <w:tmpl w:val="DE08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F35DF"/>
    <w:multiLevelType w:val="hybridMultilevel"/>
    <w:tmpl w:val="C1209376"/>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7" w15:restartNumberingAfterBreak="0">
    <w:nsid w:val="61247CCA"/>
    <w:multiLevelType w:val="multilevel"/>
    <w:tmpl w:val="C7488BC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BA579C"/>
    <w:multiLevelType w:val="multilevel"/>
    <w:tmpl w:val="70E0C942"/>
    <w:lvl w:ilvl="0">
      <w:start w:val="2"/>
      <w:numFmt w:val="decimal"/>
      <w:lvlText w:val="%1."/>
      <w:lvlJc w:val="left"/>
      <w:pPr>
        <w:ind w:left="360" w:hanging="360"/>
      </w:pPr>
      <w:rPr>
        <w:rFonts w:hint="default"/>
        <w:sz w:val="28"/>
        <w:szCs w:val="28"/>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4E489C"/>
    <w:multiLevelType w:val="hybridMultilevel"/>
    <w:tmpl w:val="A4A49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650A26"/>
    <w:multiLevelType w:val="hybridMultilevel"/>
    <w:tmpl w:val="02D020DC"/>
    <w:lvl w:ilvl="0" w:tplc="071E4CC8">
      <w:numFmt w:val="bullet"/>
      <w:lvlText w:val=""/>
      <w:lvlJc w:val="left"/>
      <w:pPr>
        <w:ind w:left="828" w:hanging="361"/>
      </w:pPr>
      <w:rPr>
        <w:rFonts w:ascii="Symbol" w:eastAsia="Symbol" w:hAnsi="Symbol" w:cs="Symbol" w:hint="default"/>
        <w:w w:val="100"/>
        <w:sz w:val="22"/>
        <w:szCs w:val="22"/>
        <w:lang w:val="en-US" w:eastAsia="en-US" w:bidi="ar-SA"/>
      </w:rPr>
    </w:lvl>
    <w:lvl w:ilvl="1" w:tplc="F4AC1D90">
      <w:numFmt w:val="bullet"/>
      <w:lvlText w:val="o"/>
      <w:lvlJc w:val="left"/>
      <w:pPr>
        <w:ind w:left="1548" w:hanging="360"/>
      </w:pPr>
      <w:rPr>
        <w:rFonts w:ascii="Courier New" w:eastAsia="Courier New" w:hAnsi="Courier New" w:cs="Courier New" w:hint="default"/>
        <w:w w:val="100"/>
        <w:sz w:val="22"/>
        <w:szCs w:val="22"/>
        <w:lang w:val="en-US" w:eastAsia="en-US" w:bidi="ar-SA"/>
      </w:rPr>
    </w:lvl>
    <w:lvl w:ilvl="2" w:tplc="7206DBCC">
      <w:numFmt w:val="bullet"/>
      <w:lvlText w:val="•"/>
      <w:lvlJc w:val="left"/>
      <w:pPr>
        <w:ind w:left="1977" w:hanging="360"/>
      </w:pPr>
      <w:rPr>
        <w:rFonts w:hint="default"/>
        <w:lang w:val="en-US" w:eastAsia="en-US" w:bidi="ar-SA"/>
      </w:rPr>
    </w:lvl>
    <w:lvl w:ilvl="3" w:tplc="C97890AA">
      <w:numFmt w:val="bullet"/>
      <w:lvlText w:val="•"/>
      <w:lvlJc w:val="left"/>
      <w:pPr>
        <w:ind w:left="2415" w:hanging="360"/>
      </w:pPr>
      <w:rPr>
        <w:rFonts w:hint="default"/>
        <w:lang w:val="en-US" w:eastAsia="en-US" w:bidi="ar-SA"/>
      </w:rPr>
    </w:lvl>
    <w:lvl w:ilvl="4" w:tplc="457E7462">
      <w:numFmt w:val="bullet"/>
      <w:lvlText w:val="•"/>
      <w:lvlJc w:val="left"/>
      <w:pPr>
        <w:ind w:left="2853" w:hanging="360"/>
      </w:pPr>
      <w:rPr>
        <w:rFonts w:hint="default"/>
        <w:lang w:val="en-US" w:eastAsia="en-US" w:bidi="ar-SA"/>
      </w:rPr>
    </w:lvl>
    <w:lvl w:ilvl="5" w:tplc="690EBED6">
      <w:numFmt w:val="bullet"/>
      <w:lvlText w:val="•"/>
      <w:lvlJc w:val="left"/>
      <w:pPr>
        <w:ind w:left="3290" w:hanging="360"/>
      </w:pPr>
      <w:rPr>
        <w:rFonts w:hint="default"/>
        <w:lang w:val="en-US" w:eastAsia="en-US" w:bidi="ar-SA"/>
      </w:rPr>
    </w:lvl>
    <w:lvl w:ilvl="6" w:tplc="9D4CEAD6">
      <w:numFmt w:val="bullet"/>
      <w:lvlText w:val="•"/>
      <w:lvlJc w:val="left"/>
      <w:pPr>
        <w:ind w:left="3728" w:hanging="360"/>
      </w:pPr>
      <w:rPr>
        <w:rFonts w:hint="default"/>
        <w:lang w:val="en-US" w:eastAsia="en-US" w:bidi="ar-SA"/>
      </w:rPr>
    </w:lvl>
    <w:lvl w:ilvl="7" w:tplc="A93258DE">
      <w:numFmt w:val="bullet"/>
      <w:lvlText w:val="•"/>
      <w:lvlJc w:val="left"/>
      <w:pPr>
        <w:ind w:left="4166" w:hanging="360"/>
      </w:pPr>
      <w:rPr>
        <w:rFonts w:hint="default"/>
        <w:lang w:val="en-US" w:eastAsia="en-US" w:bidi="ar-SA"/>
      </w:rPr>
    </w:lvl>
    <w:lvl w:ilvl="8" w:tplc="AEE89E36">
      <w:numFmt w:val="bullet"/>
      <w:lvlText w:val="•"/>
      <w:lvlJc w:val="left"/>
      <w:pPr>
        <w:ind w:left="4603" w:hanging="360"/>
      </w:pPr>
      <w:rPr>
        <w:rFonts w:hint="default"/>
        <w:lang w:val="en-US" w:eastAsia="en-US" w:bidi="ar-SA"/>
      </w:rPr>
    </w:lvl>
  </w:abstractNum>
  <w:abstractNum w:abstractNumId="21" w15:restartNumberingAfterBreak="0">
    <w:nsid w:val="7FFC2C3A"/>
    <w:multiLevelType w:val="hybridMultilevel"/>
    <w:tmpl w:val="C39251A0"/>
    <w:lvl w:ilvl="0" w:tplc="F082311C">
      <w:numFmt w:val="bullet"/>
      <w:lvlText w:val=""/>
      <w:lvlJc w:val="left"/>
      <w:pPr>
        <w:ind w:left="725" w:hanging="361"/>
      </w:pPr>
      <w:rPr>
        <w:rFonts w:ascii="Symbol" w:eastAsia="Symbol" w:hAnsi="Symbol" w:cs="Symbol" w:hint="default"/>
        <w:w w:val="100"/>
        <w:sz w:val="22"/>
        <w:szCs w:val="22"/>
        <w:lang w:val="en-US" w:eastAsia="en-US" w:bidi="ar-SA"/>
      </w:rPr>
    </w:lvl>
    <w:lvl w:ilvl="1" w:tplc="7EC4A5BE">
      <w:numFmt w:val="bullet"/>
      <w:lvlText w:val="•"/>
      <w:lvlJc w:val="left"/>
      <w:pPr>
        <w:ind w:left="1195" w:hanging="361"/>
      </w:pPr>
      <w:rPr>
        <w:rFonts w:hint="default"/>
        <w:lang w:val="en-US" w:eastAsia="en-US" w:bidi="ar-SA"/>
      </w:rPr>
    </w:lvl>
    <w:lvl w:ilvl="2" w:tplc="133AEA2E">
      <w:numFmt w:val="bullet"/>
      <w:lvlText w:val="•"/>
      <w:lvlJc w:val="left"/>
      <w:pPr>
        <w:ind w:left="1671" w:hanging="361"/>
      </w:pPr>
      <w:rPr>
        <w:rFonts w:hint="default"/>
        <w:lang w:val="en-US" w:eastAsia="en-US" w:bidi="ar-SA"/>
      </w:rPr>
    </w:lvl>
    <w:lvl w:ilvl="3" w:tplc="9AE85C3C">
      <w:numFmt w:val="bullet"/>
      <w:lvlText w:val="•"/>
      <w:lvlJc w:val="left"/>
      <w:pPr>
        <w:ind w:left="2147" w:hanging="361"/>
      </w:pPr>
      <w:rPr>
        <w:rFonts w:hint="default"/>
        <w:lang w:val="en-US" w:eastAsia="en-US" w:bidi="ar-SA"/>
      </w:rPr>
    </w:lvl>
    <w:lvl w:ilvl="4" w:tplc="EF1A7544">
      <w:numFmt w:val="bullet"/>
      <w:lvlText w:val="•"/>
      <w:lvlJc w:val="left"/>
      <w:pPr>
        <w:ind w:left="2623" w:hanging="361"/>
      </w:pPr>
      <w:rPr>
        <w:rFonts w:hint="default"/>
        <w:lang w:val="en-US" w:eastAsia="en-US" w:bidi="ar-SA"/>
      </w:rPr>
    </w:lvl>
    <w:lvl w:ilvl="5" w:tplc="39A4A1E2">
      <w:numFmt w:val="bullet"/>
      <w:lvlText w:val="•"/>
      <w:lvlJc w:val="left"/>
      <w:pPr>
        <w:ind w:left="3099" w:hanging="361"/>
      </w:pPr>
      <w:rPr>
        <w:rFonts w:hint="default"/>
        <w:lang w:val="en-US" w:eastAsia="en-US" w:bidi="ar-SA"/>
      </w:rPr>
    </w:lvl>
    <w:lvl w:ilvl="6" w:tplc="F2A063FA">
      <w:numFmt w:val="bullet"/>
      <w:lvlText w:val="•"/>
      <w:lvlJc w:val="left"/>
      <w:pPr>
        <w:ind w:left="3575" w:hanging="361"/>
      </w:pPr>
      <w:rPr>
        <w:rFonts w:hint="default"/>
        <w:lang w:val="en-US" w:eastAsia="en-US" w:bidi="ar-SA"/>
      </w:rPr>
    </w:lvl>
    <w:lvl w:ilvl="7" w:tplc="E0B0673E">
      <w:numFmt w:val="bullet"/>
      <w:lvlText w:val="•"/>
      <w:lvlJc w:val="left"/>
      <w:pPr>
        <w:ind w:left="4051" w:hanging="361"/>
      </w:pPr>
      <w:rPr>
        <w:rFonts w:hint="default"/>
        <w:lang w:val="en-US" w:eastAsia="en-US" w:bidi="ar-SA"/>
      </w:rPr>
    </w:lvl>
    <w:lvl w:ilvl="8" w:tplc="270EB224">
      <w:numFmt w:val="bullet"/>
      <w:lvlText w:val="•"/>
      <w:lvlJc w:val="left"/>
      <w:pPr>
        <w:ind w:left="4527" w:hanging="361"/>
      </w:pPr>
      <w:rPr>
        <w:rFonts w:hint="default"/>
        <w:lang w:val="en-US" w:eastAsia="en-US" w:bidi="ar-SA"/>
      </w:rPr>
    </w:lvl>
  </w:abstractNum>
  <w:num w:numId="1">
    <w:abstractNumId w:val="0"/>
  </w:num>
  <w:num w:numId="2">
    <w:abstractNumId w:val="20"/>
  </w:num>
  <w:num w:numId="3">
    <w:abstractNumId w:val="9"/>
  </w:num>
  <w:num w:numId="4">
    <w:abstractNumId w:val="13"/>
  </w:num>
  <w:num w:numId="5">
    <w:abstractNumId w:val="1"/>
  </w:num>
  <w:num w:numId="6">
    <w:abstractNumId w:val="21"/>
  </w:num>
  <w:num w:numId="7">
    <w:abstractNumId w:val="7"/>
  </w:num>
  <w:num w:numId="8">
    <w:abstractNumId w:val="2"/>
  </w:num>
  <w:num w:numId="9">
    <w:abstractNumId w:val="10"/>
  </w:num>
  <w:num w:numId="10">
    <w:abstractNumId w:val="15"/>
  </w:num>
  <w:num w:numId="11">
    <w:abstractNumId w:val="4"/>
  </w:num>
  <w:num w:numId="12">
    <w:abstractNumId w:val="8"/>
  </w:num>
  <w:num w:numId="13">
    <w:abstractNumId w:val="16"/>
  </w:num>
  <w:num w:numId="14">
    <w:abstractNumId w:val="14"/>
  </w:num>
  <w:num w:numId="15">
    <w:abstractNumId w:val="5"/>
  </w:num>
  <w:num w:numId="16">
    <w:abstractNumId w:val="17"/>
  </w:num>
  <w:num w:numId="17">
    <w:abstractNumId w:val="18"/>
  </w:num>
  <w:num w:numId="18">
    <w:abstractNumId w:val="6"/>
  </w:num>
  <w:num w:numId="19">
    <w:abstractNumId w:val="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19"/>
  </w:num>
  <w:num w:numId="23">
    <w:abstractNumId w:val="1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6A"/>
    <w:rsid w:val="00001EFB"/>
    <w:rsid w:val="0000230C"/>
    <w:rsid w:val="00002C67"/>
    <w:rsid w:val="00002F9B"/>
    <w:rsid w:val="00003A89"/>
    <w:rsid w:val="00003D98"/>
    <w:rsid w:val="000069B2"/>
    <w:rsid w:val="00010DAA"/>
    <w:rsid w:val="00010DE6"/>
    <w:rsid w:val="00015E0F"/>
    <w:rsid w:val="00016559"/>
    <w:rsid w:val="0001688D"/>
    <w:rsid w:val="00020156"/>
    <w:rsid w:val="00021D4F"/>
    <w:rsid w:val="000252BA"/>
    <w:rsid w:val="00025C39"/>
    <w:rsid w:val="000310C6"/>
    <w:rsid w:val="000314AF"/>
    <w:rsid w:val="0003235D"/>
    <w:rsid w:val="00032FFD"/>
    <w:rsid w:val="0003343B"/>
    <w:rsid w:val="0003392B"/>
    <w:rsid w:val="00033968"/>
    <w:rsid w:val="00033FF8"/>
    <w:rsid w:val="00035380"/>
    <w:rsid w:val="0003610D"/>
    <w:rsid w:val="00036DCA"/>
    <w:rsid w:val="000405A5"/>
    <w:rsid w:val="00041110"/>
    <w:rsid w:val="00042720"/>
    <w:rsid w:val="00042CEC"/>
    <w:rsid w:val="00043C0E"/>
    <w:rsid w:val="000440B4"/>
    <w:rsid w:val="00044A96"/>
    <w:rsid w:val="0004501C"/>
    <w:rsid w:val="000458CD"/>
    <w:rsid w:val="00045C6E"/>
    <w:rsid w:val="00045CED"/>
    <w:rsid w:val="00047D99"/>
    <w:rsid w:val="0005091A"/>
    <w:rsid w:val="00050CE5"/>
    <w:rsid w:val="000517A0"/>
    <w:rsid w:val="00054976"/>
    <w:rsid w:val="000549AA"/>
    <w:rsid w:val="000563AB"/>
    <w:rsid w:val="00057421"/>
    <w:rsid w:val="000576EB"/>
    <w:rsid w:val="00057B02"/>
    <w:rsid w:val="00057C6A"/>
    <w:rsid w:val="00063052"/>
    <w:rsid w:val="00063466"/>
    <w:rsid w:val="00065CDD"/>
    <w:rsid w:val="00066DD6"/>
    <w:rsid w:val="00067AFA"/>
    <w:rsid w:val="00067E75"/>
    <w:rsid w:val="00070280"/>
    <w:rsid w:val="00070B67"/>
    <w:rsid w:val="00071C32"/>
    <w:rsid w:val="000727FB"/>
    <w:rsid w:val="0008045D"/>
    <w:rsid w:val="00080C57"/>
    <w:rsid w:val="00081877"/>
    <w:rsid w:val="00081D58"/>
    <w:rsid w:val="00082216"/>
    <w:rsid w:val="000835AE"/>
    <w:rsid w:val="000845F5"/>
    <w:rsid w:val="0008489D"/>
    <w:rsid w:val="00084A47"/>
    <w:rsid w:val="00085091"/>
    <w:rsid w:val="000852AB"/>
    <w:rsid w:val="000904D1"/>
    <w:rsid w:val="00091AB0"/>
    <w:rsid w:val="000949B4"/>
    <w:rsid w:val="00096EEF"/>
    <w:rsid w:val="000974A3"/>
    <w:rsid w:val="00097529"/>
    <w:rsid w:val="000A1B12"/>
    <w:rsid w:val="000A1CD1"/>
    <w:rsid w:val="000A2630"/>
    <w:rsid w:val="000A27A4"/>
    <w:rsid w:val="000A3D93"/>
    <w:rsid w:val="000A4F06"/>
    <w:rsid w:val="000A5BCE"/>
    <w:rsid w:val="000A6C11"/>
    <w:rsid w:val="000A76A8"/>
    <w:rsid w:val="000A7BCD"/>
    <w:rsid w:val="000B10D7"/>
    <w:rsid w:val="000B1933"/>
    <w:rsid w:val="000B3526"/>
    <w:rsid w:val="000B368C"/>
    <w:rsid w:val="000B66F8"/>
    <w:rsid w:val="000B7562"/>
    <w:rsid w:val="000C0931"/>
    <w:rsid w:val="000C1CA3"/>
    <w:rsid w:val="000C1D4F"/>
    <w:rsid w:val="000C3CF3"/>
    <w:rsid w:val="000C428A"/>
    <w:rsid w:val="000C4A1A"/>
    <w:rsid w:val="000C5E8E"/>
    <w:rsid w:val="000C6C68"/>
    <w:rsid w:val="000C7872"/>
    <w:rsid w:val="000D0775"/>
    <w:rsid w:val="000D0D06"/>
    <w:rsid w:val="000D12E2"/>
    <w:rsid w:val="000D2635"/>
    <w:rsid w:val="000D2F7B"/>
    <w:rsid w:val="000D3297"/>
    <w:rsid w:val="000D3519"/>
    <w:rsid w:val="000D4A5C"/>
    <w:rsid w:val="000D4FD6"/>
    <w:rsid w:val="000D5D1B"/>
    <w:rsid w:val="000D6BA7"/>
    <w:rsid w:val="000E0BA4"/>
    <w:rsid w:val="000E3054"/>
    <w:rsid w:val="000E3697"/>
    <w:rsid w:val="000E5313"/>
    <w:rsid w:val="000E5D64"/>
    <w:rsid w:val="000E66B8"/>
    <w:rsid w:val="000F0F55"/>
    <w:rsid w:val="000F2A30"/>
    <w:rsid w:val="000F5E9B"/>
    <w:rsid w:val="00101118"/>
    <w:rsid w:val="0010324D"/>
    <w:rsid w:val="001042EF"/>
    <w:rsid w:val="00105349"/>
    <w:rsid w:val="00107306"/>
    <w:rsid w:val="001077CB"/>
    <w:rsid w:val="00107EBF"/>
    <w:rsid w:val="001110B1"/>
    <w:rsid w:val="00111523"/>
    <w:rsid w:val="001126B6"/>
    <w:rsid w:val="00112EC6"/>
    <w:rsid w:val="001166EB"/>
    <w:rsid w:val="0011694B"/>
    <w:rsid w:val="001170AE"/>
    <w:rsid w:val="00120846"/>
    <w:rsid w:val="00120F0F"/>
    <w:rsid w:val="001216D9"/>
    <w:rsid w:val="00121DA2"/>
    <w:rsid w:val="00122590"/>
    <w:rsid w:val="00123C9B"/>
    <w:rsid w:val="00124B6F"/>
    <w:rsid w:val="00124C05"/>
    <w:rsid w:val="00124F59"/>
    <w:rsid w:val="001268B8"/>
    <w:rsid w:val="00126911"/>
    <w:rsid w:val="001278D2"/>
    <w:rsid w:val="00127ACE"/>
    <w:rsid w:val="00127EEE"/>
    <w:rsid w:val="0013146C"/>
    <w:rsid w:val="00131B26"/>
    <w:rsid w:val="00132050"/>
    <w:rsid w:val="00132427"/>
    <w:rsid w:val="00135704"/>
    <w:rsid w:val="00135F92"/>
    <w:rsid w:val="0013771F"/>
    <w:rsid w:val="0013783E"/>
    <w:rsid w:val="00137B16"/>
    <w:rsid w:val="001401AB"/>
    <w:rsid w:val="001410EE"/>
    <w:rsid w:val="00142C79"/>
    <w:rsid w:val="001430EF"/>
    <w:rsid w:val="00143780"/>
    <w:rsid w:val="001456E8"/>
    <w:rsid w:val="00150017"/>
    <w:rsid w:val="001536F6"/>
    <w:rsid w:val="001545D7"/>
    <w:rsid w:val="00155A60"/>
    <w:rsid w:val="00156711"/>
    <w:rsid w:val="00157909"/>
    <w:rsid w:val="00160726"/>
    <w:rsid w:val="0016184C"/>
    <w:rsid w:val="00161E89"/>
    <w:rsid w:val="00162049"/>
    <w:rsid w:val="00162815"/>
    <w:rsid w:val="0016362C"/>
    <w:rsid w:val="00163B8F"/>
    <w:rsid w:val="00164EE3"/>
    <w:rsid w:val="00165320"/>
    <w:rsid w:val="00166570"/>
    <w:rsid w:val="00166AE7"/>
    <w:rsid w:val="0016752E"/>
    <w:rsid w:val="00167922"/>
    <w:rsid w:val="00171054"/>
    <w:rsid w:val="00171BA5"/>
    <w:rsid w:val="00173504"/>
    <w:rsid w:val="00173B7E"/>
    <w:rsid w:val="001752C4"/>
    <w:rsid w:val="001759B0"/>
    <w:rsid w:val="00176827"/>
    <w:rsid w:val="00176D54"/>
    <w:rsid w:val="00177C5A"/>
    <w:rsid w:val="001802CA"/>
    <w:rsid w:val="001810CF"/>
    <w:rsid w:val="00181E30"/>
    <w:rsid w:val="001843B5"/>
    <w:rsid w:val="00184D5F"/>
    <w:rsid w:val="001851ED"/>
    <w:rsid w:val="00185775"/>
    <w:rsid w:val="00185A3D"/>
    <w:rsid w:val="00185E42"/>
    <w:rsid w:val="001863B8"/>
    <w:rsid w:val="001907BB"/>
    <w:rsid w:val="00190B21"/>
    <w:rsid w:val="00192BDD"/>
    <w:rsid w:val="00192F45"/>
    <w:rsid w:val="00193EA1"/>
    <w:rsid w:val="00194F5A"/>
    <w:rsid w:val="001960E1"/>
    <w:rsid w:val="001964C8"/>
    <w:rsid w:val="001A34B6"/>
    <w:rsid w:val="001A3E3C"/>
    <w:rsid w:val="001A4F0E"/>
    <w:rsid w:val="001B0312"/>
    <w:rsid w:val="001B0601"/>
    <w:rsid w:val="001B16D8"/>
    <w:rsid w:val="001B2828"/>
    <w:rsid w:val="001B2D50"/>
    <w:rsid w:val="001B34C0"/>
    <w:rsid w:val="001B4CFC"/>
    <w:rsid w:val="001B5E6A"/>
    <w:rsid w:val="001B5F82"/>
    <w:rsid w:val="001C03F9"/>
    <w:rsid w:val="001C163E"/>
    <w:rsid w:val="001C2ED8"/>
    <w:rsid w:val="001C3177"/>
    <w:rsid w:val="001C32D6"/>
    <w:rsid w:val="001C3406"/>
    <w:rsid w:val="001C43E7"/>
    <w:rsid w:val="001C5E39"/>
    <w:rsid w:val="001C7008"/>
    <w:rsid w:val="001C7B79"/>
    <w:rsid w:val="001D08A7"/>
    <w:rsid w:val="001D1287"/>
    <w:rsid w:val="001D3559"/>
    <w:rsid w:val="001D36B8"/>
    <w:rsid w:val="001D4B33"/>
    <w:rsid w:val="001D5238"/>
    <w:rsid w:val="001D5C86"/>
    <w:rsid w:val="001E0A9D"/>
    <w:rsid w:val="001E266B"/>
    <w:rsid w:val="001E4537"/>
    <w:rsid w:val="001E46E6"/>
    <w:rsid w:val="001E5F33"/>
    <w:rsid w:val="001E6BD2"/>
    <w:rsid w:val="001F01AE"/>
    <w:rsid w:val="001F0E16"/>
    <w:rsid w:val="001F191B"/>
    <w:rsid w:val="001F32DA"/>
    <w:rsid w:val="001F3D29"/>
    <w:rsid w:val="001F4B8C"/>
    <w:rsid w:val="001F6815"/>
    <w:rsid w:val="001F73B3"/>
    <w:rsid w:val="0020139D"/>
    <w:rsid w:val="00201EC4"/>
    <w:rsid w:val="002020ED"/>
    <w:rsid w:val="00202718"/>
    <w:rsid w:val="00203646"/>
    <w:rsid w:val="00207907"/>
    <w:rsid w:val="00207DE4"/>
    <w:rsid w:val="00210A03"/>
    <w:rsid w:val="00210CCC"/>
    <w:rsid w:val="00210FBA"/>
    <w:rsid w:val="0021608D"/>
    <w:rsid w:val="002168F4"/>
    <w:rsid w:val="00216981"/>
    <w:rsid w:val="00221101"/>
    <w:rsid w:val="00221784"/>
    <w:rsid w:val="002217B6"/>
    <w:rsid w:val="002217BA"/>
    <w:rsid w:val="002218B8"/>
    <w:rsid w:val="00223BA6"/>
    <w:rsid w:val="00223E43"/>
    <w:rsid w:val="00224B20"/>
    <w:rsid w:val="002257E6"/>
    <w:rsid w:val="002264AF"/>
    <w:rsid w:val="00230568"/>
    <w:rsid w:val="00230AA3"/>
    <w:rsid w:val="00232388"/>
    <w:rsid w:val="00232B07"/>
    <w:rsid w:val="00232B86"/>
    <w:rsid w:val="0023302D"/>
    <w:rsid w:val="00233556"/>
    <w:rsid w:val="00233A83"/>
    <w:rsid w:val="002352A3"/>
    <w:rsid w:val="00237C1E"/>
    <w:rsid w:val="00241D59"/>
    <w:rsid w:val="00243865"/>
    <w:rsid w:val="00243B81"/>
    <w:rsid w:val="00244D6A"/>
    <w:rsid w:val="00245929"/>
    <w:rsid w:val="00246927"/>
    <w:rsid w:val="00246F09"/>
    <w:rsid w:val="00250910"/>
    <w:rsid w:val="00251601"/>
    <w:rsid w:val="002517B8"/>
    <w:rsid w:val="00252541"/>
    <w:rsid w:val="002533E8"/>
    <w:rsid w:val="0025459E"/>
    <w:rsid w:val="002552E4"/>
    <w:rsid w:val="002553A6"/>
    <w:rsid w:val="00256159"/>
    <w:rsid w:val="002562A4"/>
    <w:rsid w:val="00256F20"/>
    <w:rsid w:val="00256F46"/>
    <w:rsid w:val="00257A42"/>
    <w:rsid w:val="002611CB"/>
    <w:rsid w:val="002647A7"/>
    <w:rsid w:val="0026497F"/>
    <w:rsid w:val="002650BD"/>
    <w:rsid w:val="002653AC"/>
    <w:rsid w:val="0027087A"/>
    <w:rsid w:val="00271C9C"/>
    <w:rsid w:val="00272136"/>
    <w:rsid w:val="00274C4F"/>
    <w:rsid w:val="00275AC1"/>
    <w:rsid w:val="00276464"/>
    <w:rsid w:val="002779E4"/>
    <w:rsid w:val="00281A9B"/>
    <w:rsid w:val="00282BAD"/>
    <w:rsid w:val="00283378"/>
    <w:rsid w:val="002847E5"/>
    <w:rsid w:val="00284E15"/>
    <w:rsid w:val="002874AC"/>
    <w:rsid w:val="00287A5E"/>
    <w:rsid w:val="00287A8D"/>
    <w:rsid w:val="002900A9"/>
    <w:rsid w:val="00290EDE"/>
    <w:rsid w:val="002920DD"/>
    <w:rsid w:val="00292307"/>
    <w:rsid w:val="00293B12"/>
    <w:rsid w:val="00294972"/>
    <w:rsid w:val="00295BF2"/>
    <w:rsid w:val="00297DE3"/>
    <w:rsid w:val="002A014B"/>
    <w:rsid w:val="002A0308"/>
    <w:rsid w:val="002A1317"/>
    <w:rsid w:val="002A25F4"/>
    <w:rsid w:val="002A3347"/>
    <w:rsid w:val="002A3AB4"/>
    <w:rsid w:val="002A7A99"/>
    <w:rsid w:val="002B0576"/>
    <w:rsid w:val="002B06AC"/>
    <w:rsid w:val="002B0802"/>
    <w:rsid w:val="002B4542"/>
    <w:rsid w:val="002B6922"/>
    <w:rsid w:val="002B7714"/>
    <w:rsid w:val="002C01BB"/>
    <w:rsid w:val="002C04A5"/>
    <w:rsid w:val="002C077E"/>
    <w:rsid w:val="002C15B0"/>
    <w:rsid w:val="002C192D"/>
    <w:rsid w:val="002C2274"/>
    <w:rsid w:val="002C2C2A"/>
    <w:rsid w:val="002C33B0"/>
    <w:rsid w:val="002C3ED9"/>
    <w:rsid w:val="002C453C"/>
    <w:rsid w:val="002C6AE1"/>
    <w:rsid w:val="002C6BCE"/>
    <w:rsid w:val="002C6E82"/>
    <w:rsid w:val="002C78C3"/>
    <w:rsid w:val="002D00B0"/>
    <w:rsid w:val="002D049B"/>
    <w:rsid w:val="002D3170"/>
    <w:rsid w:val="002D437B"/>
    <w:rsid w:val="002D4AB4"/>
    <w:rsid w:val="002D4C34"/>
    <w:rsid w:val="002D4E68"/>
    <w:rsid w:val="002D5B8C"/>
    <w:rsid w:val="002D65C9"/>
    <w:rsid w:val="002D6857"/>
    <w:rsid w:val="002E2BA8"/>
    <w:rsid w:val="002E2E60"/>
    <w:rsid w:val="002E399B"/>
    <w:rsid w:val="002E42D8"/>
    <w:rsid w:val="002E481F"/>
    <w:rsid w:val="002E65BF"/>
    <w:rsid w:val="002E7907"/>
    <w:rsid w:val="002F0193"/>
    <w:rsid w:val="002F2137"/>
    <w:rsid w:val="002F25D3"/>
    <w:rsid w:val="002F4152"/>
    <w:rsid w:val="002F4B83"/>
    <w:rsid w:val="002F59D2"/>
    <w:rsid w:val="002F6309"/>
    <w:rsid w:val="002F765E"/>
    <w:rsid w:val="002F7A36"/>
    <w:rsid w:val="00300B97"/>
    <w:rsid w:val="00300E5E"/>
    <w:rsid w:val="00300EA3"/>
    <w:rsid w:val="00301553"/>
    <w:rsid w:val="00301B0D"/>
    <w:rsid w:val="0030359F"/>
    <w:rsid w:val="00305DB8"/>
    <w:rsid w:val="00306CA1"/>
    <w:rsid w:val="00307624"/>
    <w:rsid w:val="003118BD"/>
    <w:rsid w:val="00311B20"/>
    <w:rsid w:val="003124E4"/>
    <w:rsid w:val="0031591C"/>
    <w:rsid w:val="003164B3"/>
    <w:rsid w:val="00317BE1"/>
    <w:rsid w:val="00322D37"/>
    <w:rsid w:val="00322EDB"/>
    <w:rsid w:val="00325CE9"/>
    <w:rsid w:val="00325DD8"/>
    <w:rsid w:val="003265A9"/>
    <w:rsid w:val="00326664"/>
    <w:rsid w:val="003266A5"/>
    <w:rsid w:val="0032692F"/>
    <w:rsid w:val="00326D78"/>
    <w:rsid w:val="00327E83"/>
    <w:rsid w:val="00331CA9"/>
    <w:rsid w:val="00333302"/>
    <w:rsid w:val="00333574"/>
    <w:rsid w:val="003341B7"/>
    <w:rsid w:val="0033442A"/>
    <w:rsid w:val="00336BA0"/>
    <w:rsid w:val="003371DF"/>
    <w:rsid w:val="00337CED"/>
    <w:rsid w:val="00340857"/>
    <w:rsid w:val="00340B0F"/>
    <w:rsid w:val="003411F1"/>
    <w:rsid w:val="00341B1D"/>
    <w:rsid w:val="00343F20"/>
    <w:rsid w:val="00345D6A"/>
    <w:rsid w:val="00346087"/>
    <w:rsid w:val="003462F2"/>
    <w:rsid w:val="00346783"/>
    <w:rsid w:val="003471C5"/>
    <w:rsid w:val="00347679"/>
    <w:rsid w:val="003477AD"/>
    <w:rsid w:val="00352569"/>
    <w:rsid w:val="00352816"/>
    <w:rsid w:val="00352F14"/>
    <w:rsid w:val="00353633"/>
    <w:rsid w:val="0035412C"/>
    <w:rsid w:val="00354B30"/>
    <w:rsid w:val="003571F2"/>
    <w:rsid w:val="00357AF5"/>
    <w:rsid w:val="0036098C"/>
    <w:rsid w:val="00360B89"/>
    <w:rsid w:val="00364261"/>
    <w:rsid w:val="00364C02"/>
    <w:rsid w:val="003659A4"/>
    <w:rsid w:val="003677B3"/>
    <w:rsid w:val="003736B9"/>
    <w:rsid w:val="00373A8A"/>
    <w:rsid w:val="00373CA0"/>
    <w:rsid w:val="003747B0"/>
    <w:rsid w:val="00375563"/>
    <w:rsid w:val="003761A5"/>
    <w:rsid w:val="00376B3D"/>
    <w:rsid w:val="00376DFF"/>
    <w:rsid w:val="003772CF"/>
    <w:rsid w:val="003773ED"/>
    <w:rsid w:val="0037749B"/>
    <w:rsid w:val="00381E06"/>
    <w:rsid w:val="0038217C"/>
    <w:rsid w:val="003823D8"/>
    <w:rsid w:val="00382ECC"/>
    <w:rsid w:val="00383954"/>
    <w:rsid w:val="00383ED6"/>
    <w:rsid w:val="0038479D"/>
    <w:rsid w:val="0038488D"/>
    <w:rsid w:val="00385732"/>
    <w:rsid w:val="0038672E"/>
    <w:rsid w:val="00390413"/>
    <w:rsid w:val="00391480"/>
    <w:rsid w:val="00393E3D"/>
    <w:rsid w:val="0039425F"/>
    <w:rsid w:val="00396155"/>
    <w:rsid w:val="003A092C"/>
    <w:rsid w:val="003A1021"/>
    <w:rsid w:val="003A160C"/>
    <w:rsid w:val="003A37C9"/>
    <w:rsid w:val="003A3DA0"/>
    <w:rsid w:val="003A627F"/>
    <w:rsid w:val="003A6BE4"/>
    <w:rsid w:val="003A7684"/>
    <w:rsid w:val="003B0B53"/>
    <w:rsid w:val="003B0CAD"/>
    <w:rsid w:val="003B0CDB"/>
    <w:rsid w:val="003B4511"/>
    <w:rsid w:val="003B4557"/>
    <w:rsid w:val="003B4CAD"/>
    <w:rsid w:val="003B511A"/>
    <w:rsid w:val="003B5C7B"/>
    <w:rsid w:val="003B603D"/>
    <w:rsid w:val="003B62F8"/>
    <w:rsid w:val="003C11AA"/>
    <w:rsid w:val="003C2263"/>
    <w:rsid w:val="003C2979"/>
    <w:rsid w:val="003C4943"/>
    <w:rsid w:val="003C4A7F"/>
    <w:rsid w:val="003C66D9"/>
    <w:rsid w:val="003C7256"/>
    <w:rsid w:val="003C7653"/>
    <w:rsid w:val="003D1ED6"/>
    <w:rsid w:val="003D2024"/>
    <w:rsid w:val="003D2D8D"/>
    <w:rsid w:val="003D3F44"/>
    <w:rsid w:val="003D537E"/>
    <w:rsid w:val="003D68D9"/>
    <w:rsid w:val="003D6F40"/>
    <w:rsid w:val="003D72D7"/>
    <w:rsid w:val="003D73D3"/>
    <w:rsid w:val="003D79E1"/>
    <w:rsid w:val="003E0E97"/>
    <w:rsid w:val="003E0F2A"/>
    <w:rsid w:val="003E1B6F"/>
    <w:rsid w:val="003E1B79"/>
    <w:rsid w:val="003E26D1"/>
    <w:rsid w:val="003E2892"/>
    <w:rsid w:val="003E2A60"/>
    <w:rsid w:val="003E32C7"/>
    <w:rsid w:val="003E50DD"/>
    <w:rsid w:val="003E513E"/>
    <w:rsid w:val="003E6545"/>
    <w:rsid w:val="003E741F"/>
    <w:rsid w:val="003F0B54"/>
    <w:rsid w:val="003F153E"/>
    <w:rsid w:val="003F2BBE"/>
    <w:rsid w:val="003F2FBC"/>
    <w:rsid w:val="003F3871"/>
    <w:rsid w:val="003F5E76"/>
    <w:rsid w:val="003F5F7D"/>
    <w:rsid w:val="003F6204"/>
    <w:rsid w:val="004000B2"/>
    <w:rsid w:val="00400B06"/>
    <w:rsid w:val="004024F7"/>
    <w:rsid w:val="00403BC4"/>
    <w:rsid w:val="004049C1"/>
    <w:rsid w:val="00404DFA"/>
    <w:rsid w:val="00404E6F"/>
    <w:rsid w:val="00405A42"/>
    <w:rsid w:val="00405E92"/>
    <w:rsid w:val="00406329"/>
    <w:rsid w:val="00406A5E"/>
    <w:rsid w:val="004073A5"/>
    <w:rsid w:val="004078C0"/>
    <w:rsid w:val="004119EB"/>
    <w:rsid w:val="00411FF6"/>
    <w:rsid w:val="00412DB6"/>
    <w:rsid w:val="004130A2"/>
    <w:rsid w:val="00413F3E"/>
    <w:rsid w:val="00415CF0"/>
    <w:rsid w:val="00415FF6"/>
    <w:rsid w:val="00416672"/>
    <w:rsid w:val="004176BA"/>
    <w:rsid w:val="00417B20"/>
    <w:rsid w:val="00417D16"/>
    <w:rsid w:val="0042093C"/>
    <w:rsid w:val="00420F75"/>
    <w:rsid w:val="00421656"/>
    <w:rsid w:val="00421959"/>
    <w:rsid w:val="0042238D"/>
    <w:rsid w:val="004226F6"/>
    <w:rsid w:val="00422F45"/>
    <w:rsid w:val="00423E89"/>
    <w:rsid w:val="0042682A"/>
    <w:rsid w:val="00426EFF"/>
    <w:rsid w:val="004276FA"/>
    <w:rsid w:val="0043019E"/>
    <w:rsid w:val="00430D80"/>
    <w:rsid w:val="0043151C"/>
    <w:rsid w:val="00431955"/>
    <w:rsid w:val="004323A4"/>
    <w:rsid w:val="00432AA6"/>
    <w:rsid w:val="00432D3C"/>
    <w:rsid w:val="00433732"/>
    <w:rsid w:val="00435AE4"/>
    <w:rsid w:val="00437307"/>
    <w:rsid w:val="004379AC"/>
    <w:rsid w:val="00440249"/>
    <w:rsid w:val="004405A0"/>
    <w:rsid w:val="00441310"/>
    <w:rsid w:val="00441CA6"/>
    <w:rsid w:val="0044219B"/>
    <w:rsid w:val="00442A05"/>
    <w:rsid w:val="00442DB3"/>
    <w:rsid w:val="004458A8"/>
    <w:rsid w:val="004474F2"/>
    <w:rsid w:val="0044797A"/>
    <w:rsid w:val="00450E7F"/>
    <w:rsid w:val="00453507"/>
    <w:rsid w:val="00453811"/>
    <w:rsid w:val="00455099"/>
    <w:rsid w:val="004563E5"/>
    <w:rsid w:val="00456AED"/>
    <w:rsid w:val="00456F74"/>
    <w:rsid w:val="004578E3"/>
    <w:rsid w:val="00457EF6"/>
    <w:rsid w:val="00460701"/>
    <w:rsid w:val="004632D7"/>
    <w:rsid w:val="00463971"/>
    <w:rsid w:val="004645AD"/>
    <w:rsid w:val="00464C6B"/>
    <w:rsid w:val="00464DE3"/>
    <w:rsid w:val="00464FCC"/>
    <w:rsid w:val="004656A2"/>
    <w:rsid w:val="00466857"/>
    <w:rsid w:val="00466BDF"/>
    <w:rsid w:val="00467D63"/>
    <w:rsid w:val="0047137E"/>
    <w:rsid w:val="00471AD8"/>
    <w:rsid w:val="00472489"/>
    <w:rsid w:val="00473D21"/>
    <w:rsid w:val="004748A3"/>
    <w:rsid w:val="004765A8"/>
    <w:rsid w:val="00481233"/>
    <w:rsid w:val="00481ACB"/>
    <w:rsid w:val="00482CD0"/>
    <w:rsid w:val="00482E8F"/>
    <w:rsid w:val="00483501"/>
    <w:rsid w:val="00483755"/>
    <w:rsid w:val="0048636A"/>
    <w:rsid w:val="00486A5B"/>
    <w:rsid w:val="00487D71"/>
    <w:rsid w:val="004902A5"/>
    <w:rsid w:val="004902BB"/>
    <w:rsid w:val="004922CA"/>
    <w:rsid w:val="004928B1"/>
    <w:rsid w:val="00493143"/>
    <w:rsid w:val="004936F0"/>
    <w:rsid w:val="0049407D"/>
    <w:rsid w:val="004A11D9"/>
    <w:rsid w:val="004A1F1D"/>
    <w:rsid w:val="004A6B0E"/>
    <w:rsid w:val="004A6B90"/>
    <w:rsid w:val="004A6D2F"/>
    <w:rsid w:val="004A7280"/>
    <w:rsid w:val="004A73A4"/>
    <w:rsid w:val="004A7B4C"/>
    <w:rsid w:val="004B0AA0"/>
    <w:rsid w:val="004B0CD4"/>
    <w:rsid w:val="004B1712"/>
    <w:rsid w:val="004B2E38"/>
    <w:rsid w:val="004B425B"/>
    <w:rsid w:val="004B4F28"/>
    <w:rsid w:val="004B4F42"/>
    <w:rsid w:val="004B5AA3"/>
    <w:rsid w:val="004B6897"/>
    <w:rsid w:val="004B7F64"/>
    <w:rsid w:val="004C23CF"/>
    <w:rsid w:val="004C4BFF"/>
    <w:rsid w:val="004C5FF1"/>
    <w:rsid w:val="004C609A"/>
    <w:rsid w:val="004C61A8"/>
    <w:rsid w:val="004C674A"/>
    <w:rsid w:val="004C7678"/>
    <w:rsid w:val="004D03E6"/>
    <w:rsid w:val="004D19C6"/>
    <w:rsid w:val="004D1D6E"/>
    <w:rsid w:val="004D2DDA"/>
    <w:rsid w:val="004D392C"/>
    <w:rsid w:val="004D5E34"/>
    <w:rsid w:val="004D604E"/>
    <w:rsid w:val="004D6984"/>
    <w:rsid w:val="004E07BF"/>
    <w:rsid w:val="004E0BF2"/>
    <w:rsid w:val="004E1672"/>
    <w:rsid w:val="004E1B5A"/>
    <w:rsid w:val="004E24BF"/>
    <w:rsid w:val="004E2669"/>
    <w:rsid w:val="004E2D43"/>
    <w:rsid w:val="004E30E1"/>
    <w:rsid w:val="004E3520"/>
    <w:rsid w:val="004E363E"/>
    <w:rsid w:val="004E3816"/>
    <w:rsid w:val="004E5E3D"/>
    <w:rsid w:val="004E5FCB"/>
    <w:rsid w:val="004F05A2"/>
    <w:rsid w:val="004F1BC8"/>
    <w:rsid w:val="004F3C03"/>
    <w:rsid w:val="004F3E83"/>
    <w:rsid w:val="004F3E85"/>
    <w:rsid w:val="004F43EC"/>
    <w:rsid w:val="004F4CA5"/>
    <w:rsid w:val="004F7DE9"/>
    <w:rsid w:val="005003B0"/>
    <w:rsid w:val="005022E9"/>
    <w:rsid w:val="0050249D"/>
    <w:rsid w:val="00505715"/>
    <w:rsid w:val="00507002"/>
    <w:rsid w:val="005072B0"/>
    <w:rsid w:val="00507D5D"/>
    <w:rsid w:val="005124E4"/>
    <w:rsid w:val="00512DBC"/>
    <w:rsid w:val="00512FE9"/>
    <w:rsid w:val="00513C82"/>
    <w:rsid w:val="005140CA"/>
    <w:rsid w:val="00515C19"/>
    <w:rsid w:val="00516C3C"/>
    <w:rsid w:val="0052001B"/>
    <w:rsid w:val="00520543"/>
    <w:rsid w:val="00520F5B"/>
    <w:rsid w:val="005212D0"/>
    <w:rsid w:val="0052165E"/>
    <w:rsid w:val="00521D6C"/>
    <w:rsid w:val="00522255"/>
    <w:rsid w:val="00523212"/>
    <w:rsid w:val="00523FDB"/>
    <w:rsid w:val="00524A38"/>
    <w:rsid w:val="00525C7E"/>
    <w:rsid w:val="00527E79"/>
    <w:rsid w:val="00531103"/>
    <w:rsid w:val="005315C5"/>
    <w:rsid w:val="00533058"/>
    <w:rsid w:val="0053339C"/>
    <w:rsid w:val="00536BF0"/>
    <w:rsid w:val="00537C41"/>
    <w:rsid w:val="00540155"/>
    <w:rsid w:val="00540745"/>
    <w:rsid w:val="0054082B"/>
    <w:rsid w:val="00541D36"/>
    <w:rsid w:val="00542A13"/>
    <w:rsid w:val="00542B32"/>
    <w:rsid w:val="005430A1"/>
    <w:rsid w:val="00543264"/>
    <w:rsid w:val="00544C3C"/>
    <w:rsid w:val="005456AD"/>
    <w:rsid w:val="00545BBA"/>
    <w:rsid w:val="00545F74"/>
    <w:rsid w:val="005469D5"/>
    <w:rsid w:val="00546B25"/>
    <w:rsid w:val="00546E7D"/>
    <w:rsid w:val="00550406"/>
    <w:rsid w:val="00551D2C"/>
    <w:rsid w:val="005567F3"/>
    <w:rsid w:val="005645D0"/>
    <w:rsid w:val="005658F3"/>
    <w:rsid w:val="0056785E"/>
    <w:rsid w:val="005678DE"/>
    <w:rsid w:val="00567A34"/>
    <w:rsid w:val="00567AE7"/>
    <w:rsid w:val="00571FB8"/>
    <w:rsid w:val="0057344C"/>
    <w:rsid w:val="00573B90"/>
    <w:rsid w:val="0057412A"/>
    <w:rsid w:val="0057682F"/>
    <w:rsid w:val="00577289"/>
    <w:rsid w:val="005800AD"/>
    <w:rsid w:val="00581308"/>
    <w:rsid w:val="00581537"/>
    <w:rsid w:val="00581938"/>
    <w:rsid w:val="005820BE"/>
    <w:rsid w:val="00583EF2"/>
    <w:rsid w:val="005841C1"/>
    <w:rsid w:val="00585783"/>
    <w:rsid w:val="00587BFD"/>
    <w:rsid w:val="00587D19"/>
    <w:rsid w:val="00587EC6"/>
    <w:rsid w:val="00590B8B"/>
    <w:rsid w:val="00593694"/>
    <w:rsid w:val="00593BE9"/>
    <w:rsid w:val="00595067"/>
    <w:rsid w:val="005950C6"/>
    <w:rsid w:val="00595F02"/>
    <w:rsid w:val="005971EB"/>
    <w:rsid w:val="005974B1"/>
    <w:rsid w:val="00597FD1"/>
    <w:rsid w:val="005A0307"/>
    <w:rsid w:val="005A0B18"/>
    <w:rsid w:val="005A204C"/>
    <w:rsid w:val="005A26C6"/>
    <w:rsid w:val="005A3A21"/>
    <w:rsid w:val="005A4B49"/>
    <w:rsid w:val="005A5BAE"/>
    <w:rsid w:val="005A6D61"/>
    <w:rsid w:val="005A7373"/>
    <w:rsid w:val="005A77AE"/>
    <w:rsid w:val="005B040C"/>
    <w:rsid w:val="005B07DA"/>
    <w:rsid w:val="005B1312"/>
    <w:rsid w:val="005B1FC8"/>
    <w:rsid w:val="005B28B8"/>
    <w:rsid w:val="005B3B08"/>
    <w:rsid w:val="005B5479"/>
    <w:rsid w:val="005B74BF"/>
    <w:rsid w:val="005C0F45"/>
    <w:rsid w:val="005C337E"/>
    <w:rsid w:val="005C3813"/>
    <w:rsid w:val="005C3AB0"/>
    <w:rsid w:val="005C5825"/>
    <w:rsid w:val="005C5F77"/>
    <w:rsid w:val="005C62C2"/>
    <w:rsid w:val="005C68FE"/>
    <w:rsid w:val="005C6F69"/>
    <w:rsid w:val="005C7709"/>
    <w:rsid w:val="005C7AC3"/>
    <w:rsid w:val="005D0266"/>
    <w:rsid w:val="005D051D"/>
    <w:rsid w:val="005D068A"/>
    <w:rsid w:val="005D0BB5"/>
    <w:rsid w:val="005D1AAC"/>
    <w:rsid w:val="005D1BC5"/>
    <w:rsid w:val="005D3397"/>
    <w:rsid w:val="005D3A57"/>
    <w:rsid w:val="005D469C"/>
    <w:rsid w:val="005D73B6"/>
    <w:rsid w:val="005D7A1D"/>
    <w:rsid w:val="005E0439"/>
    <w:rsid w:val="005E0CA8"/>
    <w:rsid w:val="005E0E01"/>
    <w:rsid w:val="005E14BC"/>
    <w:rsid w:val="005E32E6"/>
    <w:rsid w:val="005E396B"/>
    <w:rsid w:val="005E3E8F"/>
    <w:rsid w:val="005E44F5"/>
    <w:rsid w:val="005E66B5"/>
    <w:rsid w:val="005F11C3"/>
    <w:rsid w:val="005F1D57"/>
    <w:rsid w:val="005F4505"/>
    <w:rsid w:val="005F4516"/>
    <w:rsid w:val="005F5629"/>
    <w:rsid w:val="005F669E"/>
    <w:rsid w:val="005F7B55"/>
    <w:rsid w:val="006010FB"/>
    <w:rsid w:val="00601312"/>
    <w:rsid w:val="00603460"/>
    <w:rsid w:val="00603FDF"/>
    <w:rsid w:val="00604082"/>
    <w:rsid w:val="00604751"/>
    <w:rsid w:val="00604EDC"/>
    <w:rsid w:val="006057E8"/>
    <w:rsid w:val="00605FFB"/>
    <w:rsid w:val="0060710B"/>
    <w:rsid w:val="00607287"/>
    <w:rsid w:val="006108FA"/>
    <w:rsid w:val="0061209F"/>
    <w:rsid w:val="0061389B"/>
    <w:rsid w:val="00614308"/>
    <w:rsid w:val="006146B8"/>
    <w:rsid w:val="00616022"/>
    <w:rsid w:val="00620A90"/>
    <w:rsid w:val="00621ED1"/>
    <w:rsid w:val="0062255E"/>
    <w:rsid w:val="00622744"/>
    <w:rsid w:val="00622CAF"/>
    <w:rsid w:val="00624937"/>
    <w:rsid w:val="00625447"/>
    <w:rsid w:val="00625663"/>
    <w:rsid w:val="00625A92"/>
    <w:rsid w:val="0062678A"/>
    <w:rsid w:val="006273A0"/>
    <w:rsid w:val="00630E3B"/>
    <w:rsid w:val="00633918"/>
    <w:rsid w:val="00633A55"/>
    <w:rsid w:val="00633BA4"/>
    <w:rsid w:val="0063458A"/>
    <w:rsid w:val="00636480"/>
    <w:rsid w:val="00637095"/>
    <w:rsid w:val="00640B5D"/>
    <w:rsid w:val="00641E69"/>
    <w:rsid w:val="0064394E"/>
    <w:rsid w:val="006471F6"/>
    <w:rsid w:val="00647312"/>
    <w:rsid w:val="00647FF9"/>
    <w:rsid w:val="00651C3A"/>
    <w:rsid w:val="00651EE5"/>
    <w:rsid w:val="00651F7B"/>
    <w:rsid w:val="00653B12"/>
    <w:rsid w:val="0065586D"/>
    <w:rsid w:val="00657010"/>
    <w:rsid w:val="006571D3"/>
    <w:rsid w:val="006575DF"/>
    <w:rsid w:val="00661501"/>
    <w:rsid w:val="00662AEA"/>
    <w:rsid w:val="00663668"/>
    <w:rsid w:val="00664069"/>
    <w:rsid w:val="0066455B"/>
    <w:rsid w:val="0066476F"/>
    <w:rsid w:val="00664B22"/>
    <w:rsid w:val="006654D1"/>
    <w:rsid w:val="0066614E"/>
    <w:rsid w:val="00670045"/>
    <w:rsid w:val="00670DB9"/>
    <w:rsid w:val="0067117B"/>
    <w:rsid w:val="006712B8"/>
    <w:rsid w:val="00671329"/>
    <w:rsid w:val="00671A17"/>
    <w:rsid w:val="00671A82"/>
    <w:rsid w:val="0067371F"/>
    <w:rsid w:val="006738CC"/>
    <w:rsid w:val="00674556"/>
    <w:rsid w:val="0067658C"/>
    <w:rsid w:val="00677CF1"/>
    <w:rsid w:val="006816D0"/>
    <w:rsid w:val="006818F2"/>
    <w:rsid w:val="00681FA4"/>
    <w:rsid w:val="00682726"/>
    <w:rsid w:val="00683BF8"/>
    <w:rsid w:val="0068446C"/>
    <w:rsid w:val="00684694"/>
    <w:rsid w:val="00685586"/>
    <w:rsid w:val="0068573A"/>
    <w:rsid w:val="006873DE"/>
    <w:rsid w:val="006904A7"/>
    <w:rsid w:val="00690A5E"/>
    <w:rsid w:val="00690F14"/>
    <w:rsid w:val="006935F0"/>
    <w:rsid w:val="00693AAB"/>
    <w:rsid w:val="00694364"/>
    <w:rsid w:val="00695A6B"/>
    <w:rsid w:val="00695FDC"/>
    <w:rsid w:val="00696BEF"/>
    <w:rsid w:val="0069722C"/>
    <w:rsid w:val="00697F09"/>
    <w:rsid w:val="006A0495"/>
    <w:rsid w:val="006A0684"/>
    <w:rsid w:val="006A2184"/>
    <w:rsid w:val="006A2249"/>
    <w:rsid w:val="006A58DD"/>
    <w:rsid w:val="006A6051"/>
    <w:rsid w:val="006A6F0C"/>
    <w:rsid w:val="006A74E3"/>
    <w:rsid w:val="006A7B9C"/>
    <w:rsid w:val="006B006C"/>
    <w:rsid w:val="006B00D7"/>
    <w:rsid w:val="006B4D2A"/>
    <w:rsid w:val="006B5670"/>
    <w:rsid w:val="006B5F64"/>
    <w:rsid w:val="006B61C3"/>
    <w:rsid w:val="006C018B"/>
    <w:rsid w:val="006C36E0"/>
    <w:rsid w:val="006C41E0"/>
    <w:rsid w:val="006C4902"/>
    <w:rsid w:val="006C496E"/>
    <w:rsid w:val="006C5254"/>
    <w:rsid w:val="006C52FD"/>
    <w:rsid w:val="006C5CD8"/>
    <w:rsid w:val="006C5FA0"/>
    <w:rsid w:val="006C69CF"/>
    <w:rsid w:val="006C75D0"/>
    <w:rsid w:val="006D02C8"/>
    <w:rsid w:val="006D068C"/>
    <w:rsid w:val="006D0F2B"/>
    <w:rsid w:val="006D1210"/>
    <w:rsid w:val="006D18C3"/>
    <w:rsid w:val="006D1E31"/>
    <w:rsid w:val="006D26B2"/>
    <w:rsid w:val="006D3A50"/>
    <w:rsid w:val="006D4385"/>
    <w:rsid w:val="006D61DA"/>
    <w:rsid w:val="006D7850"/>
    <w:rsid w:val="006E0831"/>
    <w:rsid w:val="006E286E"/>
    <w:rsid w:val="006E3B12"/>
    <w:rsid w:val="006E483B"/>
    <w:rsid w:val="006E6E7E"/>
    <w:rsid w:val="006F00C7"/>
    <w:rsid w:val="006F1E29"/>
    <w:rsid w:val="006F2371"/>
    <w:rsid w:val="006F2BB0"/>
    <w:rsid w:val="006F3181"/>
    <w:rsid w:val="006F3234"/>
    <w:rsid w:val="006F3490"/>
    <w:rsid w:val="006F424E"/>
    <w:rsid w:val="006F578F"/>
    <w:rsid w:val="006F65BC"/>
    <w:rsid w:val="006F72EC"/>
    <w:rsid w:val="00701558"/>
    <w:rsid w:val="00701976"/>
    <w:rsid w:val="00702E50"/>
    <w:rsid w:val="007038FF"/>
    <w:rsid w:val="00703E06"/>
    <w:rsid w:val="00705D8B"/>
    <w:rsid w:val="00706504"/>
    <w:rsid w:val="00707A11"/>
    <w:rsid w:val="007120B8"/>
    <w:rsid w:val="007136A3"/>
    <w:rsid w:val="0071605E"/>
    <w:rsid w:val="007206AE"/>
    <w:rsid w:val="007223ED"/>
    <w:rsid w:val="007235EA"/>
    <w:rsid w:val="00723EA2"/>
    <w:rsid w:val="00726147"/>
    <w:rsid w:val="00726CFC"/>
    <w:rsid w:val="00727665"/>
    <w:rsid w:val="007304DD"/>
    <w:rsid w:val="007308AD"/>
    <w:rsid w:val="0073150B"/>
    <w:rsid w:val="00732373"/>
    <w:rsid w:val="007359BE"/>
    <w:rsid w:val="00735AFF"/>
    <w:rsid w:val="00736227"/>
    <w:rsid w:val="007373C5"/>
    <w:rsid w:val="00737CC9"/>
    <w:rsid w:val="00741832"/>
    <w:rsid w:val="007424E7"/>
    <w:rsid w:val="007425B7"/>
    <w:rsid w:val="007430CD"/>
    <w:rsid w:val="00743935"/>
    <w:rsid w:val="00743EA8"/>
    <w:rsid w:val="00743EE2"/>
    <w:rsid w:val="00744117"/>
    <w:rsid w:val="0074444B"/>
    <w:rsid w:val="007453A8"/>
    <w:rsid w:val="00745898"/>
    <w:rsid w:val="00747D57"/>
    <w:rsid w:val="007517A9"/>
    <w:rsid w:val="0075220E"/>
    <w:rsid w:val="007525D9"/>
    <w:rsid w:val="00753002"/>
    <w:rsid w:val="00753A82"/>
    <w:rsid w:val="00753C56"/>
    <w:rsid w:val="00754C32"/>
    <w:rsid w:val="00755E06"/>
    <w:rsid w:val="00756C10"/>
    <w:rsid w:val="00761689"/>
    <w:rsid w:val="007618D3"/>
    <w:rsid w:val="007618DF"/>
    <w:rsid w:val="00762796"/>
    <w:rsid w:val="00762C4F"/>
    <w:rsid w:val="0076327D"/>
    <w:rsid w:val="007637B4"/>
    <w:rsid w:val="007641C8"/>
    <w:rsid w:val="007642C0"/>
    <w:rsid w:val="00764CDD"/>
    <w:rsid w:val="00764EE1"/>
    <w:rsid w:val="00765B5A"/>
    <w:rsid w:val="007670E1"/>
    <w:rsid w:val="00767AA3"/>
    <w:rsid w:val="0077173C"/>
    <w:rsid w:val="0077274E"/>
    <w:rsid w:val="00772FAA"/>
    <w:rsid w:val="0077423D"/>
    <w:rsid w:val="00776866"/>
    <w:rsid w:val="00777304"/>
    <w:rsid w:val="00780B22"/>
    <w:rsid w:val="007817FE"/>
    <w:rsid w:val="00782CB5"/>
    <w:rsid w:val="00783A1C"/>
    <w:rsid w:val="00783BCC"/>
    <w:rsid w:val="007856B3"/>
    <w:rsid w:val="00785852"/>
    <w:rsid w:val="00786B95"/>
    <w:rsid w:val="00790B02"/>
    <w:rsid w:val="00792CFD"/>
    <w:rsid w:val="0079318A"/>
    <w:rsid w:val="00793ADD"/>
    <w:rsid w:val="00794D9B"/>
    <w:rsid w:val="00794FE3"/>
    <w:rsid w:val="0079504A"/>
    <w:rsid w:val="00796198"/>
    <w:rsid w:val="00797F9D"/>
    <w:rsid w:val="007A0214"/>
    <w:rsid w:val="007A15F7"/>
    <w:rsid w:val="007A3451"/>
    <w:rsid w:val="007A36B3"/>
    <w:rsid w:val="007A3DD5"/>
    <w:rsid w:val="007A5584"/>
    <w:rsid w:val="007A55C1"/>
    <w:rsid w:val="007A5C01"/>
    <w:rsid w:val="007A5CAD"/>
    <w:rsid w:val="007A5E8D"/>
    <w:rsid w:val="007A6F6F"/>
    <w:rsid w:val="007A78B4"/>
    <w:rsid w:val="007A7DD4"/>
    <w:rsid w:val="007B00FE"/>
    <w:rsid w:val="007B07C2"/>
    <w:rsid w:val="007B0D96"/>
    <w:rsid w:val="007B19FC"/>
    <w:rsid w:val="007B250F"/>
    <w:rsid w:val="007B2A98"/>
    <w:rsid w:val="007B2BDD"/>
    <w:rsid w:val="007B2E85"/>
    <w:rsid w:val="007B31D9"/>
    <w:rsid w:val="007B3443"/>
    <w:rsid w:val="007B3D65"/>
    <w:rsid w:val="007B3D83"/>
    <w:rsid w:val="007B6532"/>
    <w:rsid w:val="007C011E"/>
    <w:rsid w:val="007C296B"/>
    <w:rsid w:val="007C36CA"/>
    <w:rsid w:val="007C36E2"/>
    <w:rsid w:val="007C400E"/>
    <w:rsid w:val="007C43C0"/>
    <w:rsid w:val="007C4A47"/>
    <w:rsid w:val="007C579F"/>
    <w:rsid w:val="007C6C75"/>
    <w:rsid w:val="007C78BF"/>
    <w:rsid w:val="007D081B"/>
    <w:rsid w:val="007D0880"/>
    <w:rsid w:val="007D1BAF"/>
    <w:rsid w:val="007D1FB4"/>
    <w:rsid w:val="007D2FFA"/>
    <w:rsid w:val="007D3311"/>
    <w:rsid w:val="007D3C77"/>
    <w:rsid w:val="007D50C3"/>
    <w:rsid w:val="007D67BA"/>
    <w:rsid w:val="007D67D6"/>
    <w:rsid w:val="007E053F"/>
    <w:rsid w:val="007E08CD"/>
    <w:rsid w:val="007E23B2"/>
    <w:rsid w:val="007E37EF"/>
    <w:rsid w:val="007E44C7"/>
    <w:rsid w:val="007E4E00"/>
    <w:rsid w:val="007E623F"/>
    <w:rsid w:val="007F1324"/>
    <w:rsid w:val="007F20A7"/>
    <w:rsid w:val="007F2C59"/>
    <w:rsid w:val="007F3A86"/>
    <w:rsid w:val="007F44ED"/>
    <w:rsid w:val="007F5B26"/>
    <w:rsid w:val="008005A8"/>
    <w:rsid w:val="00800A96"/>
    <w:rsid w:val="00803D82"/>
    <w:rsid w:val="00804170"/>
    <w:rsid w:val="0080436A"/>
    <w:rsid w:val="00805AB1"/>
    <w:rsid w:val="00805F9D"/>
    <w:rsid w:val="0080622E"/>
    <w:rsid w:val="00814A5B"/>
    <w:rsid w:val="00814C03"/>
    <w:rsid w:val="00814DDE"/>
    <w:rsid w:val="008152FC"/>
    <w:rsid w:val="00815398"/>
    <w:rsid w:val="00815C77"/>
    <w:rsid w:val="00821FA4"/>
    <w:rsid w:val="008223E5"/>
    <w:rsid w:val="00822F3D"/>
    <w:rsid w:val="0082301C"/>
    <w:rsid w:val="008230EE"/>
    <w:rsid w:val="00823E17"/>
    <w:rsid w:val="00825EA1"/>
    <w:rsid w:val="00826E77"/>
    <w:rsid w:val="008279CD"/>
    <w:rsid w:val="00830CD7"/>
    <w:rsid w:val="008310B0"/>
    <w:rsid w:val="008312E7"/>
    <w:rsid w:val="00831658"/>
    <w:rsid w:val="008328F4"/>
    <w:rsid w:val="00833739"/>
    <w:rsid w:val="00833CAE"/>
    <w:rsid w:val="008363A6"/>
    <w:rsid w:val="00837417"/>
    <w:rsid w:val="00837536"/>
    <w:rsid w:val="008406EB"/>
    <w:rsid w:val="0084205B"/>
    <w:rsid w:val="0084361E"/>
    <w:rsid w:val="00844633"/>
    <w:rsid w:val="008448C0"/>
    <w:rsid w:val="00846521"/>
    <w:rsid w:val="0084659A"/>
    <w:rsid w:val="0084764D"/>
    <w:rsid w:val="008512AF"/>
    <w:rsid w:val="00851F95"/>
    <w:rsid w:val="00852136"/>
    <w:rsid w:val="00852A12"/>
    <w:rsid w:val="00854415"/>
    <w:rsid w:val="008610AE"/>
    <w:rsid w:val="008623EB"/>
    <w:rsid w:val="00862C40"/>
    <w:rsid w:val="00863E5F"/>
    <w:rsid w:val="00864733"/>
    <w:rsid w:val="00864AE5"/>
    <w:rsid w:val="00864EC7"/>
    <w:rsid w:val="00866CE5"/>
    <w:rsid w:val="00867121"/>
    <w:rsid w:val="008674C4"/>
    <w:rsid w:val="00867B65"/>
    <w:rsid w:val="00871B08"/>
    <w:rsid w:val="00872A20"/>
    <w:rsid w:val="008740D6"/>
    <w:rsid w:val="008741E2"/>
    <w:rsid w:val="00874B95"/>
    <w:rsid w:val="008759EF"/>
    <w:rsid w:val="00877D20"/>
    <w:rsid w:val="00880827"/>
    <w:rsid w:val="00881506"/>
    <w:rsid w:val="0088172C"/>
    <w:rsid w:val="00881F53"/>
    <w:rsid w:val="00883449"/>
    <w:rsid w:val="0088557D"/>
    <w:rsid w:val="008859F9"/>
    <w:rsid w:val="008877F9"/>
    <w:rsid w:val="0089074E"/>
    <w:rsid w:val="00891DCF"/>
    <w:rsid w:val="00891EDA"/>
    <w:rsid w:val="00891F16"/>
    <w:rsid w:val="008925D8"/>
    <w:rsid w:val="00893482"/>
    <w:rsid w:val="008934C3"/>
    <w:rsid w:val="00893CB4"/>
    <w:rsid w:val="0089459F"/>
    <w:rsid w:val="00894642"/>
    <w:rsid w:val="008962DA"/>
    <w:rsid w:val="00896404"/>
    <w:rsid w:val="00897647"/>
    <w:rsid w:val="0089764F"/>
    <w:rsid w:val="008A0A71"/>
    <w:rsid w:val="008A2271"/>
    <w:rsid w:val="008A2327"/>
    <w:rsid w:val="008A2C43"/>
    <w:rsid w:val="008A2FE2"/>
    <w:rsid w:val="008A467C"/>
    <w:rsid w:val="008A4760"/>
    <w:rsid w:val="008A7030"/>
    <w:rsid w:val="008A7C05"/>
    <w:rsid w:val="008B0CC1"/>
    <w:rsid w:val="008B0F8C"/>
    <w:rsid w:val="008B11FE"/>
    <w:rsid w:val="008B2A29"/>
    <w:rsid w:val="008B2C69"/>
    <w:rsid w:val="008B48ED"/>
    <w:rsid w:val="008B4C00"/>
    <w:rsid w:val="008B5A05"/>
    <w:rsid w:val="008B621C"/>
    <w:rsid w:val="008B6A59"/>
    <w:rsid w:val="008B7EB9"/>
    <w:rsid w:val="008C0B3F"/>
    <w:rsid w:val="008C158A"/>
    <w:rsid w:val="008C1D1A"/>
    <w:rsid w:val="008C21CF"/>
    <w:rsid w:val="008C46BE"/>
    <w:rsid w:val="008C4C06"/>
    <w:rsid w:val="008C76E5"/>
    <w:rsid w:val="008C7743"/>
    <w:rsid w:val="008D0C51"/>
    <w:rsid w:val="008D2429"/>
    <w:rsid w:val="008D41E5"/>
    <w:rsid w:val="008D64E3"/>
    <w:rsid w:val="008D719A"/>
    <w:rsid w:val="008E17E4"/>
    <w:rsid w:val="008E1E10"/>
    <w:rsid w:val="008E4312"/>
    <w:rsid w:val="008E4FBA"/>
    <w:rsid w:val="008E6F4F"/>
    <w:rsid w:val="008F2154"/>
    <w:rsid w:val="008F2318"/>
    <w:rsid w:val="008F2A35"/>
    <w:rsid w:val="008F45FB"/>
    <w:rsid w:val="008F5713"/>
    <w:rsid w:val="008F5F23"/>
    <w:rsid w:val="008F7967"/>
    <w:rsid w:val="009001BB"/>
    <w:rsid w:val="00900A45"/>
    <w:rsid w:val="0090183A"/>
    <w:rsid w:val="00902408"/>
    <w:rsid w:val="00902B8B"/>
    <w:rsid w:val="00903718"/>
    <w:rsid w:val="00905666"/>
    <w:rsid w:val="00907E15"/>
    <w:rsid w:val="00910918"/>
    <w:rsid w:val="00913F24"/>
    <w:rsid w:val="0091434C"/>
    <w:rsid w:val="00914F6B"/>
    <w:rsid w:val="009202A9"/>
    <w:rsid w:val="009214B6"/>
    <w:rsid w:val="009215B8"/>
    <w:rsid w:val="00921D35"/>
    <w:rsid w:val="00921D37"/>
    <w:rsid w:val="00921FD2"/>
    <w:rsid w:val="009222B3"/>
    <w:rsid w:val="00924D2D"/>
    <w:rsid w:val="009250F5"/>
    <w:rsid w:val="00925158"/>
    <w:rsid w:val="00926A09"/>
    <w:rsid w:val="00927DA7"/>
    <w:rsid w:val="0093060A"/>
    <w:rsid w:val="0093083A"/>
    <w:rsid w:val="0093172C"/>
    <w:rsid w:val="00936974"/>
    <w:rsid w:val="00937ED0"/>
    <w:rsid w:val="00940339"/>
    <w:rsid w:val="00940993"/>
    <w:rsid w:val="00941BAD"/>
    <w:rsid w:val="00942B7D"/>
    <w:rsid w:val="0094460F"/>
    <w:rsid w:val="009447C8"/>
    <w:rsid w:val="00946B2D"/>
    <w:rsid w:val="009475D2"/>
    <w:rsid w:val="0094768D"/>
    <w:rsid w:val="00947E58"/>
    <w:rsid w:val="00952912"/>
    <w:rsid w:val="00952F1F"/>
    <w:rsid w:val="009538FB"/>
    <w:rsid w:val="00953C20"/>
    <w:rsid w:val="00954644"/>
    <w:rsid w:val="009548AB"/>
    <w:rsid w:val="0095510D"/>
    <w:rsid w:val="0095541C"/>
    <w:rsid w:val="009560B6"/>
    <w:rsid w:val="009560B8"/>
    <w:rsid w:val="0095650A"/>
    <w:rsid w:val="00960337"/>
    <w:rsid w:val="009609C7"/>
    <w:rsid w:val="00961659"/>
    <w:rsid w:val="00963673"/>
    <w:rsid w:val="0096573D"/>
    <w:rsid w:val="00970320"/>
    <w:rsid w:val="00970EB2"/>
    <w:rsid w:val="00973BA6"/>
    <w:rsid w:val="00975203"/>
    <w:rsid w:val="009757E0"/>
    <w:rsid w:val="00976144"/>
    <w:rsid w:val="00980ED3"/>
    <w:rsid w:val="00981CDA"/>
    <w:rsid w:val="0098404B"/>
    <w:rsid w:val="00984D06"/>
    <w:rsid w:val="00990FC2"/>
    <w:rsid w:val="00993F42"/>
    <w:rsid w:val="0099460D"/>
    <w:rsid w:val="00994690"/>
    <w:rsid w:val="009946F2"/>
    <w:rsid w:val="00994C38"/>
    <w:rsid w:val="00994F65"/>
    <w:rsid w:val="00995515"/>
    <w:rsid w:val="0099588C"/>
    <w:rsid w:val="00996BC4"/>
    <w:rsid w:val="00997795"/>
    <w:rsid w:val="00997A83"/>
    <w:rsid w:val="00997AE8"/>
    <w:rsid w:val="009A11F9"/>
    <w:rsid w:val="009A26ED"/>
    <w:rsid w:val="009A3859"/>
    <w:rsid w:val="009A38B2"/>
    <w:rsid w:val="009A3A2C"/>
    <w:rsid w:val="009A3B4B"/>
    <w:rsid w:val="009A3E9E"/>
    <w:rsid w:val="009A3ED0"/>
    <w:rsid w:val="009A4434"/>
    <w:rsid w:val="009A463C"/>
    <w:rsid w:val="009A4F5D"/>
    <w:rsid w:val="009A56CF"/>
    <w:rsid w:val="009A6202"/>
    <w:rsid w:val="009A6972"/>
    <w:rsid w:val="009B0A85"/>
    <w:rsid w:val="009B14EF"/>
    <w:rsid w:val="009B479B"/>
    <w:rsid w:val="009B539E"/>
    <w:rsid w:val="009B5421"/>
    <w:rsid w:val="009B6119"/>
    <w:rsid w:val="009B6BE0"/>
    <w:rsid w:val="009B74A7"/>
    <w:rsid w:val="009C1730"/>
    <w:rsid w:val="009C360D"/>
    <w:rsid w:val="009C36E4"/>
    <w:rsid w:val="009C43D9"/>
    <w:rsid w:val="009C54BC"/>
    <w:rsid w:val="009C6B24"/>
    <w:rsid w:val="009C7DEE"/>
    <w:rsid w:val="009D1D0F"/>
    <w:rsid w:val="009D3FA7"/>
    <w:rsid w:val="009D4CEC"/>
    <w:rsid w:val="009D5809"/>
    <w:rsid w:val="009D6C72"/>
    <w:rsid w:val="009E2250"/>
    <w:rsid w:val="009E28C1"/>
    <w:rsid w:val="009E39A7"/>
    <w:rsid w:val="009E4C40"/>
    <w:rsid w:val="009E5F3A"/>
    <w:rsid w:val="009E60E8"/>
    <w:rsid w:val="009E6446"/>
    <w:rsid w:val="009E65BD"/>
    <w:rsid w:val="009E7335"/>
    <w:rsid w:val="009E7C07"/>
    <w:rsid w:val="009F0636"/>
    <w:rsid w:val="009F06F4"/>
    <w:rsid w:val="009F084B"/>
    <w:rsid w:val="009F1C0D"/>
    <w:rsid w:val="009F2C98"/>
    <w:rsid w:val="009F34B2"/>
    <w:rsid w:val="009F41DE"/>
    <w:rsid w:val="009F4671"/>
    <w:rsid w:val="009F7B16"/>
    <w:rsid w:val="00A040A8"/>
    <w:rsid w:val="00A0412F"/>
    <w:rsid w:val="00A05177"/>
    <w:rsid w:val="00A05907"/>
    <w:rsid w:val="00A06CF9"/>
    <w:rsid w:val="00A118A6"/>
    <w:rsid w:val="00A11B9B"/>
    <w:rsid w:val="00A11CCF"/>
    <w:rsid w:val="00A13609"/>
    <w:rsid w:val="00A14D53"/>
    <w:rsid w:val="00A15768"/>
    <w:rsid w:val="00A15855"/>
    <w:rsid w:val="00A15BA4"/>
    <w:rsid w:val="00A20FB3"/>
    <w:rsid w:val="00A2119D"/>
    <w:rsid w:val="00A21DCA"/>
    <w:rsid w:val="00A227A4"/>
    <w:rsid w:val="00A2289B"/>
    <w:rsid w:val="00A236D2"/>
    <w:rsid w:val="00A246F9"/>
    <w:rsid w:val="00A25960"/>
    <w:rsid w:val="00A26111"/>
    <w:rsid w:val="00A261B6"/>
    <w:rsid w:val="00A2624E"/>
    <w:rsid w:val="00A26D47"/>
    <w:rsid w:val="00A301A8"/>
    <w:rsid w:val="00A3048F"/>
    <w:rsid w:val="00A30785"/>
    <w:rsid w:val="00A318C3"/>
    <w:rsid w:val="00A320C0"/>
    <w:rsid w:val="00A32C10"/>
    <w:rsid w:val="00A33202"/>
    <w:rsid w:val="00A33B71"/>
    <w:rsid w:val="00A3481C"/>
    <w:rsid w:val="00A36837"/>
    <w:rsid w:val="00A36C4E"/>
    <w:rsid w:val="00A41A9D"/>
    <w:rsid w:val="00A430AE"/>
    <w:rsid w:val="00A43845"/>
    <w:rsid w:val="00A43D5B"/>
    <w:rsid w:val="00A44D8F"/>
    <w:rsid w:val="00A44DC0"/>
    <w:rsid w:val="00A44F6C"/>
    <w:rsid w:val="00A46206"/>
    <w:rsid w:val="00A472AD"/>
    <w:rsid w:val="00A50BC0"/>
    <w:rsid w:val="00A5241E"/>
    <w:rsid w:val="00A52F8E"/>
    <w:rsid w:val="00A546A1"/>
    <w:rsid w:val="00A54783"/>
    <w:rsid w:val="00A55675"/>
    <w:rsid w:val="00A55D87"/>
    <w:rsid w:val="00A57B47"/>
    <w:rsid w:val="00A60F68"/>
    <w:rsid w:val="00A61CF7"/>
    <w:rsid w:val="00A61E1A"/>
    <w:rsid w:val="00A61F7E"/>
    <w:rsid w:val="00A623B8"/>
    <w:rsid w:val="00A6375A"/>
    <w:rsid w:val="00A63845"/>
    <w:rsid w:val="00A6633C"/>
    <w:rsid w:val="00A66726"/>
    <w:rsid w:val="00A669E0"/>
    <w:rsid w:val="00A67FA4"/>
    <w:rsid w:val="00A70304"/>
    <w:rsid w:val="00A70472"/>
    <w:rsid w:val="00A70AD5"/>
    <w:rsid w:val="00A710AE"/>
    <w:rsid w:val="00A71801"/>
    <w:rsid w:val="00A72004"/>
    <w:rsid w:val="00A73C48"/>
    <w:rsid w:val="00A74A8D"/>
    <w:rsid w:val="00A8131A"/>
    <w:rsid w:val="00A82798"/>
    <w:rsid w:val="00A8446A"/>
    <w:rsid w:val="00A85214"/>
    <w:rsid w:val="00A8581C"/>
    <w:rsid w:val="00A85903"/>
    <w:rsid w:val="00A864DA"/>
    <w:rsid w:val="00A87975"/>
    <w:rsid w:val="00A905FB"/>
    <w:rsid w:val="00A9600F"/>
    <w:rsid w:val="00A97D5E"/>
    <w:rsid w:val="00AA1582"/>
    <w:rsid w:val="00AA15F6"/>
    <w:rsid w:val="00AA1755"/>
    <w:rsid w:val="00AA2A62"/>
    <w:rsid w:val="00AA33DF"/>
    <w:rsid w:val="00AA33ED"/>
    <w:rsid w:val="00AA38D4"/>
    <w:rsid w:val="00AA7A3A"/>
    <w:rsid w:val="00AA7C71"/>
    <w:rsid w:val="00AB0362"/>
    <w:rsid w:val="00AB0822"/>
    <w:rsid w:val="00AB0F87"/>
    <w:rsid w:val="00AB1CE1"/>
    <w:rsid w:val="00AB279E"/>
    <w:rsid w:val="00AB3440"/>
    <w:rsid w:val="00AB3989"/>
    <w:rsid w:val="00AB45CB"/>
    <w:rsid w:val="00AB46D7"/>
    <w:rsid w:val="00AB4E3E"/>
    <w:rsid w:val="00AB4E88"/>
    <w:rsid w:val="00AB61EA"/>
    <w:rsid w:val="00AB765C"/>
    <w:rsid w:val="00AC284E"/>
    <w:rsid w:val="00AC314C"/>
    <w:rsid w:val="00AC404F"/>
    <w:rsid w:val="00AC50E0"/>
    <w:rsid w:val="00AC5106"/>
    <w:rsid w:val="00AC6021"/>
    <w:rsid w:val="00AC6F05"/>
    <w:rsid w:val="00AC7051"/>
    <w:rsid w:val="00AC7AE4"/>
    <w:rsid w:val="00AC7B85"/>
    <w:rsid w:val="00AD11D8"/>
    <w:rsid w:val="00AD326E"/>
    <w:rsid w:val="00AD3E6D"/>
    <w:rsid w:val="00AD503D"/>
    <w:rsid w:val="00AD5B15"/>
    <w:rsid w:val="00AD5D21"/>
    <w:rsid w:val="00AD6528"/>
    <w:rsid w:val="00AD6924"/>
    <w:rsid w:val="00AD6D57"/>
    <w:rsid w:val="00AD6F9E"/>
    <w:rsid w:val="00AD78FF"/>
    <w:rsid w:val="00AD7B95"/>
    <w:rsid w:val="00AE01BC"/>
    <w:rsid w:val="00AE033E"/>
    <w:rsid w:val="00AE2FE0"/>
    <w:rsid w:val="00AE3560"/>
    <w:rsid w:val="00AE3E4D"/>
    <w:rsid w:val="00AE40D7"/>
    <w:rsid w:val="00AE539E"/>
    <w:rsid w:val="00AE5405"/>
    <w:rsid w:val="00AE5625"/>
    <w:rsid w:val="00AE679F"/>
    <w:rsid w:val="00AE6F40"/>
    <w:rsid w:val="00AE7B64"/>
    <w:rsid w:val="00AF0DE8"/>
    <w:rsid w:val="00AF11EB"/>
    <w:rsid w:val="00AF1717"/>
    <w:rsid w:val="00AF1B61"/>
    <w:rsid w:val="00AF1BD1"/>
    <w:rsid w:val="00AF2AB2"/>
    <w:rsid w:val="00AF2F37"/>
    <w:rsid w:val="00AF350A"/>
    <w:rsid w:val="00AF3545"/>
    <w:rsid w:val="00AF3726"/>
    <w:rsid w:val="00AF397B"/>
    <w:rsid w:val="00AF512E"/>
    <w:rsid w:val="00AF6CA1"/>
    <w:rsid w:val="00AF7E7A"/>
    <w:rsid w:val="00B002EA"/>
    <w:rsid w:val="00B006E2"/>
    <w:rsid w:val="00B00BF3"/>
    <w:rsid w:val="00B036A5"/>
    <w:rsid w:val="00B04E35"/>
    <w:rsid w:val="00B054A1"/>
    <w:rsid w:val="00B058C2"/>
    <w:rsid w:val="00B07AB5"/>
    <w:rsid w:val="00B10737"/>
    <w:rsid w:val="00B10A7B"/>
    <w:rsid w:val="00B127F6"/>
    <w:rsid w:val="00B12883"/>
    <w:rsid w:val="00B1326F"/>
    <w:rsid w:val="00B13370"/>
    <w:rsid w:val="00B13F34"/>
    <w:rsid w:val="00B17621"/>
    <w:rsid w:val="00B2059F"/>
    <w:rsid w:val="00B212EC"/>
    <w:rsid w:val="00B25437"/>
    <w:rsid w:val="00B259E1"/>
    <w:rsid w:val="00B26079"/>
    <w:rsid w:val="00B262E0"/>
    <w:rsid w:val="00B26B6C"/>
    <w:rsid w:val="00B2769B"/>
    <w:rsid w:val="00B302D6"/>
    <w:rsid w:val="00B3214E"/>
    <w:rsid w:val="00B32187"/>
    <w:rsid w:val="00B32929"/>
    <w:rsid w:val="00B33C66"/>
    <w:rsid w:val="00B36905"/>
    <w:rsid w:val="00B37019"/>
    <w:rsid w:val="00B37E91"/>
    <w:rsid w:val="00B40DFB"/>
    <w:rsid w:val="00B41ED2"/>
    <w:rsid w:val="00B424CD"/>
    <w:rsid w:val="00B42C87"/>
    <w:rsid w:val="00B45B61"/>
    <w:rsid w:val="00B45E32"/>
    <w:rsid w:val="00B4680C"/>
    <w:rsid w:val="00B5031E"/>
    <w:rsid w:val="00B50A79"/>
    <w:rsid w:val="00B512F4"/>
    <w:rsid w:val="00B51B79"/>
    <w:rsid w:val="00B51C7D"/>
    <w:rsid w:val="00B537E1"/>
    <w:rsid w:val="00B53E4F"/>
    <w:rsid w:val="00B55835"/>
    <w:rsid w:val="00B60D4E"/>
    <w:rsid w:val="00B61381"/>
    <w:rsid w:val="00B61AA5"/>
    <w:rsid w:val="00B61ED7"/>
    <w:rsid w:val="00B6366B"/>
    <w:rsid w:val="00B63675"/>
    <w:rsid w:val="00B642CE"/>
    <w:rsid w:val="00B6462A"/>
    <w:rsid w:val="00B64A74"/>
    <w:rsid w:val="00B64B66"/>
    <w:rsid w:val="00B652A0"/>
    <w:rsid w:val="00B65304"/>
    <w:rsid w:val="00B653C6"/>
    <w:rsid w:val="00B67E02"/>
    <w:rsid w:val="00B67EDC"/>
    <w:rsid w:val="00B704B3"/>
    <w:rsid w:val="00B74CBC"/>
    <w:rsid w:val="00B74DBF"/>
    <w:rsid w:val="00B74EB4"/>
    <w:rsid w:val="00B75241"/>
    <w:rsid w:val="00B752FF"/>
    <w:rsid w:val="00B7530E"/>
    <w:rsid w:val="00B755B3"/>
    <w:rsid w:val="00B75B38"/>
    <w:rsid w:val="00B7605F"/>
    <w:rsid w:val="00B76FA6"/>
    <w:rsid w:val="00B76FC6"/>
    <w:rsid w:val="00B810C3"/>
    <w:rsid w:val="00B8117D"/>
    <w:rsid w:val="00B81879"/>
    <w:rsid w:val="00B83BFF"/>
    <w:rsid w:val="00B8408E"/>
    <w:rsid w:val="00B84302"/>
    <w:rsid w:val="00B84642"/>
    <w:rsid w:val="00B912CA"/>
    <w:rsid w:val="00B923F8"/>
    <w:rsid w:val="00B93C2F"/>
    <w:rsid w:val="00B94F31"/>
    <w:rsid w:val="00B95BD7"/>
    <w:rsid w:val="00B95C12"/>
    <w:rsid w:val="00B95D55"/>
    <w:rsid w:val="00B96EA0"/>
    <w:rsid w:val="00B9758E"/>
    <w:rsid w:val="00BA0CFF"/>
    <w:rsid w:val="00BA20F5"/>
    <w:rsid w:val="00BA266B"/>
    <w:rsid w:val="00BA28DD"/>
    <w:rsid w:val="00BA2FB1"/>
    <w:rsid w:val="00BA7213"/>
    <w:rsid w:val="00BA7D67"/>
    <w:rsid w:val="00BB040E"/>
    <w:rsid w:val="00BB0A66"/>
    <w:rsid w:val="00BB0FF1"/>
    <w:rsid w:val="00BB34EF"/>
    <w:rsid w:val="00BB57B9"/>
    <w:rsid w:val="00BB7DE4"/>
    <w:rsid w:val="00BC204D"/>
    <w:rsid w:val="00BC33A3"/>
    <w:rsid w:val="00BC3472"/>
    <w:rsid w:val="00BC460E"/>
    <w:rsid w:val="00BC4972"/>
    <w:rsid w:val="00BC50A4"/>
    <w:rsid w:val="00BC5104"/>
    <w:rsid w:val="00BC534B"/>
    <w:rsid w:val="00BC541F"/>
    <w:rsid w:val="00BC5C43"/>
    <w:rsid w:val="00BC5CFD"/>
    <w:rsid w:val="00BD092B"/>
    <w:rsid w:val="00BD1CB2"/>
    <w:rsid w:val="00BD20DF"/>
    <w:rsid w:val="00BD2C06"/>
    <w:rsid w:val="00BD3047"/>
    <w:rsid w:val="00BD46D9"/>
    <w:rsid w:val="00BD492F"/>
    <w:rsid w:val="00BD521A"/>
    <w:rsid w:val="00BD5D7B"/>
    <w:rsid w:val="00BD5DEA"/>
    <w:rsid w:val="00BD61D7"/>
    <w:rsid w:val="00BD6D4A"/>
    <w:rsid w:val="00BD70D6"/>
    <w:rsid w:val="00BE08E0"/>
    <w:rsid w:val="00BE136D"/>
    <w:rsid w:val="00BE19D4"/>
    <w:rsid w:val="00BE20A8"/>
    <w:rsid w:val="00BE233C"/>
    <w:rsid w:val="00BE423D"/>
    <w:rsid w:val="00BE53DC"/>
    <w:rsid w:val="00BE565A"/>
    <w:rsid w:val="00BE582B"/>
    <w:rsid w:val="00BE5AC9"/>
    <w:rsid w:val="00BE6DA0"/>
    <w:rsid w:val="00BF115A"/>
    <w:rsid w:val="00BF22BE"/>
    <w:rsid w:val="00BF2D67"/>
    <w:rsid w:val="00BF35F9"/>
    <w:rsid w:val="00BF665E"/>
    <w:rsid w:val="00BF67C6"/>
    <w:rsid w:val="00BF6F4C"/>
    <w:rsid w:val="00BF71B1"/>
    <w:rsid w:val="00BF782F"/>
    <w:rsid w:val="00C008C0"/>
    <w:rsid w:val="00C00FBB"/>
    <w:rsid w:val="00C00FC0"/>
    <w:rsid w:val="00C0199D"/>
    <w:rsid w:val="00C03E37"/>
    <w:rsid w:val="00C044D4"/>
    <w:rsid w:val="00C04961"/>
    <w:rsid w:val="00C04AF3"/>
    <w:rsid w:val="00C04EFD"/>
    <w:rsid w:val="00C057C6"/>
    <w:rsid w:val="00C0591A"/>
    <w:rsid w:val="00C06794"/>
    <w:rsid w:val="00C068D5"/>
    <w:rsid w:val="00C06939"/>
    <w:rsid w:val="00C06A7C"/>
    <w:rsid w:val="00C10284"/>
    <w:rsid w:val="00C1083D"/>
    <w:rsid w:val="00C119FB"/>
    <w:rsid w:val="00C11EFD"/>
    <w:rsid w:val="00C1332D"/>
    <w:rsid w:val="00C135B9"/>
    <w:rsid w:val="00C15731"/>
    <w:rsid w:val="00C15C5C"/>
    <w:rsid w:val="00C166EC"/>
    <w:rsid w:val="00C16EDC"/>
    <w:rsid w:val="00C17665"/>
    <w:rsid w:val="00C17719"/>
    <w:rsid w:val="00C20B77"/>
    <w:rsid w:val="00C217C4"/>
    <w:rsid w:val="00C21995"/>
    <w:rsid w:val="00C21A7C"/>
    <w:rsid w:val="00C22A16"/>
    <w:rsid w:val="00C22DB7"/>
    <w:rsid w:val="00C240D9"/>
    <w:rsid w:val="00C258BF"/>
    <w:rsid w:val="00C25999"/>
    <w:rsid w:val="00C25CE7"/>
    <w:rsid w:val="00C2603D"/>
    <w:rsid w:val="00C27E3F"/>
    <w:rsid w:val="00C307A3"/>
    <w:rsid w:val="00C32A2B"/>
    <w:rsid w:val="00C32C4E"/>
    <w:rsid w:val="00C32E57"/>
    <w:rsid w:val="00C33DF0"/>
    <w:rsid w:val="00C35290"/>
    <w:rsid w:val="00C367EA"/>
    <w:rsid w:val="00C36D7D"/>
    <w:rsid w:val="00C40868"/>
    <w:rsid w:val="00C40A14"/>
    <w:rsid w:val="00C42917"/>
    <w:rsid w:val="00C43F19"/>
    <w:rsid w:val="00C46C75"/>
    <w:rsid w:val="00C472F1"/>
    <w:rsid w:val="00C51D03"/>
    <w:rsid w:val="00C536E5"/>
    <w:rsid w:val="00C53AF0"/>
    <w:rsid w:val="00C549B2"/>
    <w:rsid w:val="00C557B2"/>
    <w:rsid w:val="00C563B1"/>
    <w:rsid w:val="00C56540"/>
    <w:rsid w:val="00C61086"/>
    <w:rsid w:val="00C62639"/>
    <w:rsid w:val="00C62D95"/>
    <w:rsid w:val="00C62F7E"/>
    <w:rsid w:val="00C63CBA"/>
    <w:rsid w:val="00C64A89"/>
    <w:rsid w:val="00C66420"/>
    <w:rsid w:val="00C67436"/>
    <w:rsid w:val="00C67C8E"/>
    <w:rsid w:val="00C701B3"/>
    <w:rsid w:val="00C7259D"/>
    <w:rsid w:val="00C74FB4"/>
    <w:rsid w:val="00C758CA"/>
    <w:rsid w:val="00C777D5"/>
    <w:rsid w:val="00C80F8F"/>
    <w:rsid w:val="00C81E8B"/>
    <w:rsid w:val="00C8488E"/>
    <w:rsid w:val="00C854FD"/>
    <w:rsid w:val="00C85DB7"/>
    <w:rsid w:val="00C8623D"/>
    <w:rsid w:val="00C8686A"/>
    <w:rsid w:val="00C9099D"/>
    <w:rsid w:val="00C90EA2"/>
    <w:rsid w:val="00C91FCF"/>
    <w:rsid w:val="00C92D83"/>
    <w:rsid w:val="00C951F9"/>
    <w:rsid w:val="00C95F6A"/>
    <w:rsid w:val="00C96312"/>
    <w:rsid w:val="00C96737"/>
    <w:rsid w:val="00C975B5"/>
    <w:rsid w:val="00C978FC"/>
    <w:rsid w:val="00CA0BF3"/>
    <w:rsid w:val="00CA15A7"/>
    <w:rsid w:val="00CA1B9B"/>
    <w:rsid w:val="00CA2001"/>
    <w:rsid w:val="00CA28FE"/>
    <w:rsid w:val="00CA2B59"/>
    <w:rsid w:val="00CA32AF"/>
    <w:rsid w:val="00CA516D"/>
    <w:rsid w:val="00CA55F2"/>
    <w:rsid w:val="00CA5648"/>
    <w:rsid w:val="00CA6AC3"/>
    <w:rsid w:val="00CA6AF9"/>
    <w:rsid w:val="00CA73EE"/>
    <w:rsid w:val="00CA7596"/>
    <w:rsid w:val="00CB041F"/>
    <w:rsid w:val="00CB0961"/>
    <w:rsid w:val="00CB0D2E"/>
    <w:rsid w:val="00CB112F"/>
    <w:rsid w:val="00CB251E"/>
    <w:rsid w:val="00CB3EB1"/>
    <w:rsid w:val="00CB4376"/>
    <w:rsid w:val="00CB4ABC"/>
    <w:rsid w:val="00CB4DB4"/>
    <w:rsid w:val="00CB539E"/>
    <w:rsid w:val="00CB7AFF"/>
    <w:rsid w:val="00CB7BC2"/>
    <w:rsid w:val="00CC0049"/>
    <w:rsid w:val="00CC16AA"/>
    <w:rsid w:val="00CC1CDF"/>
    <w:rsid w:val="00CC2BFE"/>
    <w:rsid w:val="00CC3057"/>
    <w:rsid w:val="00CC4A14"/>
    <w:rsid w:val="00CC5039"/>
    <w:rsid w:val="00CC545D"/>
    <w:rsid w:val="00CC55A0"/>
    <w:rsid w:val="00CC5CE7"/>
    <w:rsid w:val="00CC62CC"/>
    <w:rsid w:val="00CC647B"/>
    <w:rsid w:val="00CC707E"/>
    <w:rsid w:val="00CD0A67"/>
    <w:rsid w:val="00CD3370"/>
    <w:rsid w:val="00CE2BAB"/>
    <w:rsid w:val="00CE3861"/>
    <w:rsid w:val="00CE3CE1"/>
    <w:rsid w:val="00CE46C1"/>
    <w:rsid w:val="00CE5D34"/>
    <w:rsid w:val="00CE7A62"/>
    <w:rsid w:val="00CF1ED9"/>
    <w:rsid w:val="00CF26C9"/>
    <w:rsid w:val="00CF2FFE"/>
    <w:rsid w:val="00CF3766"/>
    <w:rsid w:val="00CF4665"/>
    <w:rsid w:val="00CF5584"/>
    <w:rsid w:val="00CF6493"/>
    <w:rsid w:val="00CF66FB"/>
    <w:rsid w:val="00CF752C"/>
    <w:rsid w:val="00CF7742"/>
    <w:rsid w:val="00D02664"/>
    <w:rsid w:val="00D03CBC"/>
    <w:rsid w:val="00D03DBE"/>
    <w:rsid w:val="00D04079"/>
    <w:rsid w:val="00D07200"/>
    <w:rsid w:val="00D11134"/>
    <w:rsid w:val="00D11A1A"/>
    <w:rsid w:val="00D12606"/>
    <w:rsid w:val="00D126E2"/>
    <w:rsid w:val="00D12C2D"/>
    <w:rsid w:val="00D12C93"/>
    <w:rsid w:val="00D13401"/>
    <w:rsid w:val="00D138EA"/>
    <w:rsid w:val="00D13CE1"/>
    <w:rsid w:val="00D16FF2"/>
    <w:rsid w:val="00D176C3"/>
    <w:rsid w:val="00D2023B"/>
    <w:rsid w:val="00D20F26"/>
    <w:rsid w:val="00D21281"/>
    <w:rsid w:val="00D22408"/>
    <w:rsid w:val="00D24492"/>
    <w:rsid w:val="00D24E07"/>
    <w:rsid w:val="00D2675D"/>
    <w:rsid w:val="00D269CB"/>
    <w:rsid w:val="00D27149"/>
    <w:rsid w:val="00D272AB"/>
    <w:rsid w:val="00D27300"/>
    <w:rsid w:val="00D27CEC"/>
    <w:rsid w:val="00D30170"/>
    <w:rsid w:val="00D319E1"/>
    <w:rsid w:val="00D3323E"/>
    <w:rsid w:val="00D33A35"/>
    <w:rsid w:val="00D349A4"/>
    <w:rsid w:val="00D37C4D"/>
    <w:rsid w:val="00D404EF"/>
    <w:rsid w:val="00D411FB"/>
    <w:rsid w:val="00D41CBC"/>
    <w:rsid w:val="00D41E11"/>
    <w:rsid w:val="00D43238"/>
    <w:rsid w:val="00D43839"/>
    <w:rsid w:val="00D439A8"/>
    <w:rsid w:val="00D441D3"/>
    <w:rsid w:val="00D469C2"/>
    <w:rsid w:val="00D507FF"/>
    <w:rsid w:val="00D50AF6"/>
    <w:rsid w:val="00D510C8"/>
    <w:rsid w:val="00D515FC"/>
    <w:rsid w:val="00D5287F"/>
    <w:rsid w:val="00D530CD"/>
    <w:rsid w:val="00D532FE"/>
    <w:rsid w:val="00D53578"/>
    <w:rsid w:val="00D60B76"/>
    <w:rsid w:val="00D628C3"/>
    <w:rsid w:val="00D62C9B"/>
    <w:rsid w:val="00D6350C"/>
    <w:rsid w:val="00D63A45"/>
    <w:rsid w:val="00D641C5"/>
    <w:rsid w:val="00D64548"/>
    <w:rsid w:val="00D65016"/>
    <w:rsid w:val="00D67BF7"/>
    <w:rsid w:val="00D7054B"/>
    <w:rsid w:val="00D70CF1"/>
    <w:rsid w:val="00D70DD0"/>
    <w:rsid w:val="00D70DE7"/>
    <w:rsid w:val="00D75C3E"/>
    <w:rsid w:val="00D75E0E"/>
    <w:rsid w:val="00D768A6"/>
    <w:rsid w:val="00D76E67"/>
    <w:rsid w:val="00D80F97"/>
    <w:rsid w:val="00D813BE"/>
    <w:rsid w:val="00D81674"/>
    <w:rsid w:val="00D8178E"/>
    <w:rsid w:val="00D81966"/>
    <w:rsid w:val="00D825E9"/>
    <w:rsid w:val="00D82942"/>
    <w:rsid w:val="00D86C9C"/>
    <w:rsid w:val="00D873ED"/>
    <w:rsid w:val="00D90F24"/>
    <w:rsid w:val="00D91529"/>
    <w:rsid w:val="00D91603"/>
    <w:rsid w:val="00D9161A"/>
    <w:rsid w:val="00D9260F"/>
    <w:rsid w:val="00D93104"/>
    <w:rsid w:val="00D93380"/>
    <w:rsid w:val="00D94DB9"/>
    <w:rsid w:val="00D95537"/>
    <w:rsid w:val="00D96EB0"/>
    <w:rsid w:val="00D972FB"/>
    <w:rsid w:val="00D97707"/>
    <w:rsid w:val="00DA02E6"/>
    <w:rsid w:val="00DA0C60"/>
    <w:rsid w:val="00DA15B6"/>
    <w:rsid w:val="00DA23ED"/>
    <w:rsid w:val="00DA26D7"/>
    <w:rsid w:val="00DA369F"/>
    <w:rsid w:val="00DA5064"/>
    <w:rsid w:val="00DA5149"/>
    <w:rsid w:val="00DA53AD"/>
    <w:rsid w:val="00DA55A6"/>
    <w:rsid w:val="00DA60C9"/>
    <w:rsid w:val="00DA6A54"/>
    <w:rsid w:val="00DA761D"/>
    <w:rsid w:val="00DB0384"/>
    <w:rsid w:val="00DB1089"/>
    <w:rsid w:val="00DB2175"/>
    <w:rsid w:val="00DB263B"/>
    <w:rsid w:val="00DB2949"/>
    <w:rsid w:val="00DB3030"/>
    <w:rsid w:val="00DB458F"/>
    <w:rsid w:val="00DB45AC"/>
    <w:rsid w:val="00DB4787"/>
    <w:rsid w:val="00DB4C7E"/>
    <w:rsid w:val="00DB5037"/>
    <w:rsid w:val="00DB6F05"/>
    <w:rsid w:val="00DB74CE"/>
    <w:rsid w:val="00DC0297"/>
    <w:rsid w:val="00DC284E"/>
    <w:rsid w:val="00DC3ED4"/>
    <w:rsid w:val="00DC6056"/>
    <w:rsid w:val="00DD0115"/>
    <w:rsid w:val="00DD2F65"/>
    <w:rsid w:val="00DD342A"/>
    <w:rsid w:val="00DD368E"/>
    <w:rsid w:val="00DD4640"/>
    <w:rsid w:val="00DD4AD2"/>
    <w:rsid w:val="00DD4C90"/>
    <w:rsid w:val="00DD5202"/>
    <w:rsid w:val="00DD7952"/>
    <w:rsid w:val="00DE0BF4"/>
    <w:rsid w:val="00DE0CEC"/>
    <w:rsid w:val="00DE143D"/>
    <w:rsid w:val="00DE1691"/>
    <w:rsid w:val="00DE16B7"/>
    <w:rsid w:val="00DE20EC"/>
    <w:rsid w:val="00DE2769"/>
    <w:rsid w:val="00DE3013"/>
    <w:rsid w:val="00DE314B"/>
    <w:rsid w:val="00DE43DB"/>
    <w:rsid w:val="00DE4601"/>
    <w:rsid w:val="00DE477A"/>
    <w:rsid w:val="00DE6159"/>
    <w:rsid w:val="00DF0131"/>
    <w:rsid w:val="00DF03A3"/>
    <w:rsid w:val="00DF289F"/>
    <w:rsid w:val="00DF3B3A"/>
    <w:rsid w:val="00DF3DA3"/>
    <w:rsid w:val="00DF5775"/>
    <w:rsid w:val="00DF57BB"/>
    <w:rsid w:val="00DF5ACD"/>
    <w:rsid w:val="00DF75A7"/>
    <w:rsid w:val="00E013D6"/>
    <w:rsid w:val="00E01B2E"/>
    <w:rsid w:val="00E029D9"/>
    <w:rsid w:val="00E02FBC"/>
    <w:rsid w:val="00E03106"/>
    <w:rsid w:val="00E04834"/>
    <w:rsid w:val="00E04CBB"/>
    <w:rsid w:val="00E05900"/>
    <w:rsid w:val="00E05DE4"/>
    <w:rsid w:val="00E0658F"/>
    <w:rsid w:val="00E069C3"/>
    <w:rsid w:val="00E06B57"/>
    <w:rsid w:val="00E12777"/>
    <w:rsid w:val="00E143FF"/>
    <w:rsid w:val="00E16B86"/>
    <w:rsid w:val="00E1715C"/>
    <w:rsid w:val="00E17377"/>
    <w:rsid w:val="00E174DA"/>
    <w:rsid w:val="00E214A7"/>
    <w:rsid w:val="00E2287B"/>
    <w:rsid w:val="00E22895"/>
    <w:rsid w:val="00E26932"/>
    <w:rsid w:val="00E273EB"/>
    <w:rsid w:val="00E27468"/>
    <w:rsid w:val="00E275B8"/>
    <w:rsid w:val="00E278F6"/>
    <w:rsid w:val="00E27DE9"/>
    <w:rsid w:val="00E30662"/>
    <w:rsid w:val="00E3074C"/>
    <w:rsid w:val="00E30D92"/>
    <w:rsid w:val="00E31ECD"/>
    <w:rsid w:val="00E34599"/>
    <w:rsid w:val="00E34BDB"/>
    <w:rsid w:val="00E354EE"/>
    <w:rsid w:val="00E35FDE"/>
    <w:rsid w:val="00E3657C"/>
    <w:rsid w:val="00E37480"/>
    <w:rsid w:val="00E4057B"/>
    <w:rsid w:val="00E40871"/>
    <w:rsid w:val="00E40D43"/>
    <w:rsid w:val="00E40D46"/>
    <w:rsid w:val="00E41981"/>
    <w:rsid w:val="00E41B19"/>
    <w:rsid w:val="00E41BA5"/>
    <w:rsid w:val="00E42CE8"/>
    <w:rsid w:val="00E4360D"/>
    <w:rsid w:val="00E4469B"/>
    <w:rsid w:val="00E45706"/>
    <w:rsid w:val="00E45AF4"/>
    <w:rsid w:val="00E461E4"/>
    <w:rsid w:val="00E50590"/>
    <w:rsid w:val="00E505A8"/>
    <w:rsid w:val="00E506EF"/>
    <w:rsid w:val="00E50C5F"/>
    <w:rsid w:val="00E512BD"/>
    <w:rsid w:val="00E52159"/>
    <w:rsid w:val="00E53F86"/>
    <w:rsid w:val="00E547F6"/>
    <w:rsid w:val="00E548E5"/>
    <w:rsid w:val="00E54ACD"/>
    <w:rsid w:val="00E54DCE"/>
    <w:rsid w:val="00E54E13"/>
    <w:rsid w:val="00E55E59"/>
    <w:rsid w:val="00E56BF3"/>
    <w:rsid w:val="00E57717"/>
    <w:rsid w:val="00E57765"/>
    <w:rsid w:val="00E603DF"/>
    <w:rsid w:val="00E606C2"/>
    <w:rsid w:val="00E60776"/>
    <w:rsid w:val="00E60CC7"/>
    <w:rsid w:val="00E60D0A"/>
    <w:rsid w:val="00E60F3A"/>
    <w:rsid w:val="00E6109F"/>
    <w:rsid w:val="00E617AC"/>
    <w:rsid w:val="00E6215E"/>
    <w:rsid w:val="00E6473D"/>
    <w:rsid w:val="00E647F7"/>
    <w:rsid w:val="00E657D7"/>
    <w:rsid w:val="00E657E9"/>
    <w:rsid w:val="00E66724"/>
    <w:rsid w:val="00E670FE"/>
    <w:rsid w:val="00E6717C"/>
    <w:rsid w:val="00E6758A"/>
    <w:rsid w:val="00E67FAE"/>
    <w:rsid w:val="00E71C1F"/>
    <w:rsid w:val="00E72CC8"/>
    <w:rsid w:val="00E73167"/>
    <w:rsid w:val="00E733B3"/>
    <w:rsid w:val="00E7347B"/>
    <w:rsid w:val="00E755F4"/>
    <w:rsid w:val="00E7606E"/>
    <w:rsid w:val="00E76A3C"/>
    <w:rsid w:val="00E77CDC"/>
    <w:rsid w:val="00E8118B"/>
    <w:rsid w:val="00E81319"/>
    <w:rsid w:val="00E81705"/>
    <w:rsid w:val="00E817D9"/>
    <w:rsid w:val="00E823F7"/>
    <w:rsid w:val="00E83824"/>
    <w:rsid w:val="00E84266"/>
    <w:rsid w:val="00E869C9"/>
    <w:rsid w:val="00E86B98"/>
    <w:rsid w:val="00E872AC"/>
    <w:rsid w:val="00E90348"/>
    <w:rsid w:val="00E904A4"/>
    <w:rsid w:val="00E9197B"/>
    <w:rsid w:val="00E92FEE"/>
    <w:rsid w:val="00E94542"/>
    <w:rsid w:val="00E955A8"/>
    <w:rsid w:val="00E95FE8"/>
    <w:rsid w:val="00E969BB"/>
    <w:rsid w:val="00EA09EC"/>
    <w:rsid w:val="00EA1794"/>
    <w:rsid w:val="00EA2AB3"/>
    <w:rsid w:val="00EA3F37"/>
    <w:rsid w:val="00EA4054"/>
    <w:rsid w:val="00EA50AC"/>
    <w:rsid w:val="00EA7527"/>
    <w:rsid w:val="00EA7A77"/>
    <w:rsid w:val="00EA7B3A"/>
    <w:rsid w:val="00EB4A87"/>
    <w:rsid w:val="00EB51DB"/>
    <w:rsid w:val="00EB6C34"/>
    <w:rsid w:val="00EC04D1"/>
    <w:rsid w:val="00EC0674"/>
    <w:rsid w:val="00EC068F"/>
    <w:rsid w:val="00EC1373"/>
    <w:rsid w:val="00EC179F"/>
    <w:rsid w:val="00EC2FE4"/>
    <w:rsid w:val="00EC5680"/>
    <w:rsid w:val="00EC58D5"/>
    <w:rsid w:val="00EC6424"/>
    <w:rsid w:val="00EC7498"/>
    <w:rsid w:val="00ED1BEF"/>
    <w:rsid w:val="00ED1C28"/>
    <w:rsid w:val="00ED1FED"/>
    <w:rsid w:val="00ED2D6F"/>
    <w:rsid w:val="00ED559E"/>
    <w:rsid w:val="00ED59CC"/>
    <w:rsid w:val="00ED606B"/>
    <w:rsid w:val="00ED6A24"/>
    <w:rsid w:val="00ED6CF3"/>
    <w:rsid w:val="00ED6F23"/>
    <w:rsid w:val="00EE03EC"/>
    <w:rsid w:val="00EE31B9"/>
    <w:rsid w:val="00EE35FC"/>
    <w:rsid w:val="00EE4B67"/>
    <w:rsid w:val="00EE697F"/>
    <w:rsid w:val="00EF189E"/>
    <w:rsid w:val="00EF18FD"/>
    <w:rsid w:val="00EF2E56"/>
    <w:rsid w:val="00EF2F07"/>
    <w:rsid w:val="00EF3282"/>
    <w:rsid w:val="00EF3577"/>
    <w:rsid w:val="00EF35BE"/>
    <w:rsid w:val="00EF3C09"/>
    <w:rsid w:val="00EF52B5"/>
    <w:rsid w:val="00EF6165"/>
    <w:rsid w:val="00F0020A"/>
    <w:rsid w:val="00F00AC3"/>
    <w:rsid w:val="00F0486E"/>
    <w:rsid w:val="00F05129"/>
    <w:rsid w:val="00F07A0D"/>
    <w:rsid w:val="00F10912"/>
    <w:rsid w:val="00F117F7"/>
    <w:rsid w:val="00F12C4F"/>
    <w:rsid w:val="00F13964"/>
    <w:rsid w:val="00F14095"/>
    <w:rsid w:val="00F14684"/>
    <w:rsid w:val="00F150F7"/>
    <w:rsid w:val="00F17EFB"/>
    <w:rsid w:val="00F201C1"/>
    <w:rsid w:val="00F21654"/>
    <w:rsid w:val="00F21D54"/>
    <w:rsid w:val="00F22109"/>
    <w:rsid w:val="00F25FA6"/>
    <w:rsid w:val="00F2693C"/>
    <w:rsid w:val="00F26DA4"/>
    <w:rsid w:val="00F27741"/>
    <w:rsid w:val="00F3083B"/>
    <w:rsid w:val="00F31DE1"/>
    <w:rsid w:val="00F32599"/>
    <w:rsid w:val="00F326BE"/>
    <w:rsid w:val="00F329A8"/>
    <w:rsid w:val="00F32CFB"/>
    <w:rsid w:val="00F32D12"/>
    <w:rsid w:val="00F3427A"/>
    <w:rsid w:val="00F34519"/>
    <w:rsid w:val="00F370E9"/>
    <w:rsid w:val="00F4026D"/>
    <w:rsid w:val="00F40D9D"/>
    <w:rsid w:val="00F43A1F"/>
    <w:rsid w:val="00F43F46"/>
    <w:rsid w:val="00F45FAD"/>
    <w:rsid w:val="00F46014"/>
    <w:rsid w:val="00F464A4"/>
    <w:rsid w:val="00F46781"/>
    <w:rsid w:val="00F50638"/>
    <w:rsid w:val="00F50FA4"/>
    <w:rsid w:val="00F51174"/>
    <w:rsid w:val="00F523BC"/>
    <w:rsid w:val="00F5264A"/>
    <w:rsid w:val="00F52CDC"/>
    <w:rsid w:val="00F54219"/>
    <w:rsid w:val="00F5472D"/>
    <w:rsid w:val="00F54B00"/>
    <w:rsid w:val="00F55979"/>
    <w:rsid w:val="00F55DDD"/>
    <w:rsid w:val="00F5617F"/>
    <w:rsid w:val="00F60931"/>
    <w:rsid w:val="00F60A0D"/>
    <w:rsid w:val="00F60F25"/>
    <w:rsid w:val="00F628F7"/>
    <w:rsid w:val="00F63BDB"/>
    <w:rsid w:val="00F64DB2"/>
    <w:rsid w:val="00F667F2"/>
    <w:rsid w:val="00F66CDB"/>
    <w:rsid w:val="00F70AAB"/>
    <w:rsid w:val="00F723F2"/>
    <w:rsid w:val="00F725F7"/>
    <w:rsid w:val="00F757AF"/>
    <w:rsid w:val="00F760FE"/>
    <w:rsid w:val="00F777FB"/>
    <w:rsid w:val="00F80362"/>
    <w:rsid w:val="00F808F0"/>
    <w:rsid w:val="00F816A4"/>
    <w:rsid w:val="00F81735"/>
    <w:rsid w:val="00F81DBD"/>
    <w:rsid w:val="00F81E08"/>
    <w:rsid w:val="00F83CB1"/>
    <w:rsid w:val="00F85181"/>
    <w:rsid w:val="00F853F0"/>
    <w:rsid w:val="00F871F1"/>
    <w:rsid w:val="00F87A80"/>
    <w:rsid w:val="00F87F54"/>
    <w:rsid w:val="00F905AF"/>
    <w:rsid w:val="00F90C72"/>
    <w:rsid w:val="00F91862"/>
    <w:rsid w:val="00F938C2"/>
    <w:rsid w:val="00F939D0"/>
    <w:rsid w:val="00F93D35"/>
    <w:rsid w:val="00F93D7F"/>
    <w:rsid w:val="00F94278"/>
    <w:rsid w:val="00F94C12"/>
    <w:rsid w:val="00F94E03"/>
    <w:rsid w:val="00F9598F"/>
    <w:rsid w:val="00F96CE6"/>
    <w:rsid w:val="00F97350"/>
    <w:rsid w:val="00F973A1"/>
    <w:rsid w:val="00F97785"/>
    <w:rsid w:val="00FA0A1B"/>
    <w:rsid w:val="00FA0A3D"/>
    <w:rsid w:val="00FA221C"/>
    <w:rsid w:val="00FA2A9C"/>
    <w:rsid w:val="00FA3587"/>
    <w:rsid w:val="00FA3776"/>
    <w:rsid w:val="00FA68D6"/>
    <w:rsid w:val="00FA6C76"/>
    <w:rsid w:val="00FA74E5"/>
    <w:rsid w:val="00FA7F06"/>
    <w:rsid w:val="00FB059F"/>
    <w:rsid w:val="00FB219E"/>
    <w:rsid w:val="00FB43E0"/>
    <w:rsid w:val="00FB4A9E"/>
    <w:rsid w:val="00FB4FDF"/>
    <w:rsid w:val="00FB659B"/>
    <w:rsid w:val="00FC1B39"/>
    <w:rsid w:val="00FC6953"/>
    <w:rsid w:val="00FD05D7"/>
    <w:rsid w:val="00FD0766"/>
    <w:rsid w:val="00FD168A"/>
    <w:rsid w:val="00FD2CA5"/>
    <w:rsid w:val="00FD428A"/>
    <w:rsid w:val="00FD497A"/>
    <w:rsid w:val="00FD4A63"/>
    <w:rsid w:val="00FD541A"/>
    <w:rsid w:val="00FD55F9"/>
    <w:rsid w:val="00FD5A1C"/>
    <w:rsid w:val="00FD67E9"/>
    <w:rsid w:val="00FD6B67"/>
    <w:rsid w:val="00FE16C6"/>
    <w:rsid w:val="00FE1CBC"/>
    <w:rsid w:val="00FE2DA9"/>
    <w:rsid w:val="00FE41B0"/>
    <w:rsid w:val="00FE44E8"/>
    <w:rsid w:val="00FE5342"/>
    <w:rsid w:val="00FE58EA"/>
    <w:rsid w:val="00FE5F61"/>
    <w:rsid w:val="00FE61EC"/>
    <w:rsid w:val="00FE6C68"/>
    <w:rsid w:val="00FF382A"/>
    <w:rsid w:val="00FF4568"/>
    <w:rsid w:val="00FF6083"/>
    <w:rsid w:val="00FF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82DD4"/>
  <w15:chartTrackingRefBased/>
  <w15:docId w15:val="{1DE3BD2D-8112-4920-B951-E7D46656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3D"/>
  </w:style>
  <w:style w:type="paragraph" w:styleId="Heading1">
    <w:name w:val="heading 1"/>
    <w:basedOn w:val="Normal"/>
    <w:next w:val="Normal"/>
    <w:link w:val="Heading1Char"/>
    <w:uiPriority w:val="9"/>
    <w:qFormat/>
    <w:rsid w:val="00763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3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70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4BFF"/>
    <w:pPr>
      <w:widowControl w:val="0"/>
      <w:autoSpaceDE w:val="0"/>
      <w:autoSpaceDN w:val="0"/>
      <w:spacing w:after="0" w:line="240" w:lineRule="auto"/>
    </w:pPr>
    <w:rPr>
      <w:rFonts w:eastAsia="Arial"/>
    </w:rPr>
  </w:style>
  <w:style w:type="paragraph" w:styleId="BodyText">
    <w:name w:val="Body Text"/>
    <w:basedOn w:val="Normal"/>
    <w:link w:val="BodyTextChar"/>
    <w:uiPriority w:val="1"/>
    <w:qFormat/>
    <w:rsid w:val="00B50A79"/>
    <w:pPr>
      <w:widowControl w:val="0"/>
      <w:autoSpaceDE w:val="0"/>
      <w:autoSpaceDN w:val="0"/>
      <w:spacing w:after="0" w:line="240" w:lineRule="auto"/>
    </w:pPr>
    <w:rPr>
      <w:rFonts w:eastAsia="Arial"/>
    </w:rPr>
  </w:style>
  <w:style w:type="character" w:customStyle="1" w:styleId="BodyTextChar">
    <w:name w:val="Body Text Char"/>
    <w:basedOn w:val="DefaultParagraphFont"/>
    <w:link w:val="BodyText"/>
    <w:uiPriority w:val="1"/>
    <w:rsid w:val="00B50A79"/>
    <w:rPr>
      <w:rFonts w:eastAsia="Arial"/>
    </w:rPr>
  </w:style>
  <w:style w:type="paragraph" w:styleId="ListParagraph">
    <w:name w:val="List Paragraph"/>
    <w:basedOn w:val="Normal"/>
    <w:link w:val="ListParagraphChar"/>
    <w:uiPriority w:val="34"/>
    <w:qFormat/>
    <w:rsid w:val="00B50A79"/>
    <w:pPr>
      <w:widowControl w:val="0"/>
      <w:autoSpaceDE w:val="0"/>
      <w:autoSpaceDN w:val="0"/>
      <w:spacing w:after="0" w:line="240" w:lineRule="auto"/>
      <w:ind w:left="480" w:right="854" w:hanging="360"/>
    </w:pPr>
    <w:rPr>
      <w:rFonts w:eastAsia="Arial"/>
    </w:rPr>
  </w:style>
  <w:style w:type="character" w:styleId="Hyperlink">
    <w:name w:val="Hyperlink"/>
    <w:basedOn w:val="DefaultParagraphFont"/>
    <w:uiPriority w:val="99"/>
    <w:unhideWhenUsed/>
    <w:rsid w:val="00E823F7"/>
    <w:rPr>
      <w:color w:val="0563C1" w:themeColor="hyperlink"/>
      <w:u w:val="single"/>
    </w:rPr>
  </w:style>
  <w:style w:type="character" w:styleId="UnresolvedMention">
    <w:name w:val="Unresolved Mention"/>
    <w:basedOn w:val="DefaultParagraphFont"/>
    <w:uiPriority w:val="99"/>
    <w:semiHidden/>
    <w:unhideWhenUsed/>
    <w:rsid w:val="00E823F7"/>
    <w:rPr>
      <w:color w:val="605E5C"/>
      <w:shd w:val="clear" w:color="auto" w:fill="E1DFDD"/>
    </w:rPr>
  </w:style>
  <w:style w:type="paragraph" w:styleId="Header">
    <w:name w:val="header"/>
    <w:aliases w:val="Alt Header,title"/>
    <w:basedOn w:val="Normal"/>
    <w:link w:val="HeaderChar"/>
    <w:uiPriority w:val="99"/>
    <w:unhideWhenUsed/>
    <w:rsid w:val="00456AED"/>
    <w:pPr>
      <w:tabs>
        <w:tab w:val="center" w:pos="4680"/>
        <w:tab w:val="right" w:pos="9360"/>
      </w:tabs>
      <w:spacing w:after="0" w:line="240" w:lineRule="auto"/>
    </w:pPr>
  </w:style>
  <w:style w:type="character" w:customStyle="1" w:styleId="HeaderChar">
    <w:name w:val="Header Char"/>
    <w:aliases w:val="Alt Header Char,title Char"/>
    <w:basedOn w:val="DefaultParagraphFont"/>
    <w:link w:val="Header"/>
    <w:uiPriority w:val="99"/>
    <w:rsid w:val="00456AED"/>
  </w:style>
  <w:style w:type="paragraph" w:styleId="Footer">
    <w:name w:val="footer"/>
    <w:basedOn w:val="Normal"/>
    <w:link w:val="FooterChar"/>
    <w:uiPriority w:val="99"/>
    <w:unhideWhenUsed/>
    <w:rsid w:val="00456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AED"/>
  </w:style>
  <w:style w:type="character" w:styleId="CommentReference">
    <w:name w:val="annotation reference"/>
    <w:basedOn w:val="DefaultParagraphFont"/>
    <w:uiPriority w:val="99"/>
    <w:unhideWhenUsed/>
    <w:rsid w:val="0020139D"/>
    <w:rPr>
      <w:sz w:val="16"/>
      <w:szCs w:val="16"/>
    </w:rPr>
  </w:style>
  <w:style w:type="paragraph" w:styleId="CommentText">
    <w:name w:val="annotation text"/>
    <w:basedOn w:val="Normal"/>
    <w:link w:val="CommentTextChar"/>
    <w:uiPriority w:val="99"/>
    <w:unhideWhenUsed/>
    <w:rsid w:val="0020139D"/>
    <w:pPr>
      <w:spacing w:line="240" w:lineRule="auto"/>
    </w:pPr>
    <w:rPr>
      <w:sz w:val="20"/>
      <w:szCs w:val="20"/>
    </w:rPr>
  </w:style>
  <w:style w:type="character" w:customStyle="1" w:styleId="CommentTextChar">
    <w:name w:val="Comment Text Char"/>
    <w:basedOn w:val="DefaultParagraphFont"/>
    <w:link w:val="CommentText"/>
    <w:uiPriority w:val="99"/>
    <w:rsid w:val="0020139D"/>
    <w:rPr>
      <w:sz w:val="20"/>
      <w:szCs w:val="20"/>
    </w:rPr>
  </w:style>
  <w:style w:type="paragraph" w:styleId="CommentSubject">
    <w:name w:val="annotation subject"/>
    <w:basedOn w:val="CommentText"/>
    <w:next w:val="CommentText"/>
    <w:link w:val="CommentSubjectChar"/>
    <w:uiPriority w:val="99"/>
    <w:semiHidden/>
    <w:unhideWhenUsed/>
    <w:rsid w:val="0020139D"/>
    <w:rPr>
      <w:b/>
      <w:bCs/>
    </w:rPr>
  </w:style>
  <w:style w:type="character" w:customStyle="1" w:styleId="CommentSubjectChar">
    <w:name w:val="Comment Subject Char"/>
    <w:basedOn w:val="CommentTextChar"/>
    <w:link w:val="CommentSubject"/>
    <w:uiPriority w:val="99"/>
    <w:semiHidden/>
    <w:rsid w:val="0020139D"/>
    <w:rPr>
      <w:b/>
      <w:bCs/>
      <w:sz w:val="20"/>
      <w:szCs w:val="20"/>
    </w:rPr>
  </w:style>
  <w:style w:type="paragraph" w:styleId="Revision">
    <w:name w:val="Revision"/>
    <w:hidden/>
    <w:uiPriority w:val="99"/>
    <w:semiHidden/>
    <w:rsid w:val="00233556"/>
    <w:pPr>
      <w:spacing w:after="0" w:line="240" w:lineRule="auto"/>
    </w:pPr>
  </w:style>
  <w:style w:type="character" w:styleId="FollowedHyperlink">
    <w:name w:val="FollowedHyperlink"/>
    <w:basedOn w:val="DefaultParagraphFont"/>
    <w:uiPriority w:val="99"/>
    <w:semiHidden/>
    <w:unhideWhenUsed/>
    <w:rsid w:val="00233556"/>
    <w:rPr>
      <w:color w:val="954F72" w:themeColor="followedHyperlink"/>
      <w:u w:val="single"/>
    </w:rPr>
  </w:style>
  <w:style w:type="character" w:styleId="BookTitle">
    <w:name w:val="Book Title"/>
    <w:basedOn w:val="DefaultParagraphFont"/>
    <w:uiPriority w:val="33"/>
    <w:qFormat/>
    <w:rsid w:val="00E3074C"/>
    <w:rPr>
      <w:b/>
      <w:bCs/>
      <w:i/>
      <w:iCs/>
      <w:spacing w:val="5"/>
    </w:rPr>
  </w:style>
  <w:style w:type="character" w:customStyle="1" w:styleId="ListParagraphChar">
    <w:name w:val="List Paragraph Char"/>
    <w:link w:val="ListParagraph"/>
    <w:uiPriority w:val="34"/>
    <w:locked/>
    <w:rsid w:val="007670E1"/>
    <w:rPr>
      <w:rFonts w:eastAsia="Arial"/>
    </w:rPr>
  </w:style>
  <w:style w:type="paragraph" w:customStyle="1" w:styleId="AKFSubsub">
    <w:name w:val="AKF Sub sub"/>
    <w:basedOn w:val="Heading3"/>
    <w:qFormat/>
    <w:rsid w:val="007670E1"/>
    <w:pPr>
      <w:keepLines w:val="0"/>
      <w:numPr>
        <w:ilvl w:val="2"/>
        <w:numId w:val="12"/>
      </w:numPr>
      <w:spacing w:before="240" w:after="60" w:line="276" w:lineRule="auto"/>
    </w:pPr>
    <w:rPr>
      <w:rFonts w:ascii="Calibri" w:eastAsia="Times New Roman" w:hAnsi="Calibri" w:cs="Calibri"/>
      <w:b/>
      <w:bCs/>
      <w:color w:val="auto"/>
      <w:sz w:val="22"/>
      <w:szCs w:val="22"/>
      <w:u w:val="single"/>
      <w:lang w:eastAsia="x-none"/>
    </w:rPr>
  </w:style>
  <w:style w:type="character" w:customStyle="1" w:styleId="Heading3Char">
    <w:name w:val="Heading 3 Char"/>
    <w:basedOn w:val="DefaultParagraphFont"/>
    <w:link w:val="Heading3"/>
    <w:uiPriority w:val="9"/>
    <w:semiHidden/>
    <w:rsid w:val="007670E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6327D"/>
    <w:rPr>
      <w:rFonts w:asciiTheme="majorHAnsi" w:eastAsiaTheme="majorEastAsia" w:hAnsiTheme="majorHAnsi" w:cstheme="majorBidi"/>
      <w:color w:val="2F5496" w:themeColor="accent1" w:themeShade="BF"/>
      <w:sz w:val="32"/>
      <w:szCs w:val="32"/>
    </w:rPr>
  </w:style>
  <w:style w:type="paragraph" w:customStyle="1" w:styleId="AKFsub">
    <w:name w:val="AKF sub"/>
    <w:basedOn w:val="Heading2"/>
    <w:qFormat/>
    <w:rsid w:val="0076327D"/>
    <w:pPr>
      <w:keepLines w:val="0"/>
      <w:numPr>
        <w:ilvl w:val="1"/>
        <w:numId w:val="18"/>
      </w:numPr>
      <w:tabs>
        <w:tab w:val="num" w:pos="360"/>
      </w:tabs>
      <w:spacing w:before="240" w:after="60" w:line="240" w:lineRule="auto"/>
      <w:ind w:left="0" w:firstLine="0"/>
    </w:pPr>
    <w:rPr>
      <w:rFonts w:asciiTheme="minorHAnsi" w:eastAsia="Times New Roman" w:hAnsiTheme="minorHAnsi" w:cstheme="minorBidi"/>
      <w:b/>
      <w:bCs/>
      <w:iCs/>
      <w:color w:val="auto"/>
      <w:sz w:val="28"/>
      <w:szCs w:val="28"/>
      <w:lang w:eastAsia="x-none"/>
    </w:rPr>
  </w:style>
  <w:style w:type="paragraph" w:customStyle="1" w:styleId="AKFsubsubnotTOC">
    <w:name w:val="AKF sub sub not TOC"/>
    <w:basedOn w:val="Heading3"/>
    <w:link w:val="AKFsubsubnotTOCChar"/>
    <w:qFormat/>
    <w:rsid w:val="0076327D"/>
    <w:pPr>
      <w:keepLines w:val="0"/>
      <w:numPr>
        <w:ilvl w:val="2"/>
        <w:numId w:val="18"/>
      </w:numPr>
      <w:spacing w:before="240" w:after="60" w:line="240" w:lineRule="auto"/>
    </w:pPr>
    <w:rPr>
      <w:rFonts w:ascii="Calibri" w:eastAsia="Times New Roman" w:hAnsi="Calibri" w:cs="Calibri"/>
      <w:color w:val="auto"/>
      <w:sz w:val="22"/>
      <w:szCs w:val="22"/>
      <w:lang w:val="x-none" w:eastAsia="x-none"/>
    </w:rPr>
  </w:style>
  <w:style w:type="character" w:customStyle="1" w:styleId="Heading2Char">
    <w:name w:val="Heading 2 Char"/>
    <w:basedOn w:val="DefaultParagraphFont"/>
    <w:link w:val="Heading2"/>
    <w:uiPriority w:val="9"/>
    <w:semiHidden/>
    <w:rsid w:val="0076327D"/>
    <w:rPr>
      <w:rFonts w:asciiTheme="majorHAnsi" w:eastAsiaTheme="majorEastAsia" w:hAnsiTheme="majorHAnsi" w:cstheme="majorBidi"/>
      <w:color w:val="2F5496" w:themeColor="accent1" w:themeShade="BF"/>
      <w:sz w:val="26"/>
      <w:szCs w:val="26"/>
    </w:rPr>
  </w:style>
  <w:style w:type="paragraph" w:customStyle="1" w:styleId="TableNumberedList">
    <w:name w:val="Table Numbered List"/>
    <w:basedOn w:val="Normal"/>
    <w:next w:val="Normal"/>
    <w:rsid w:val="00926A09"/>
    <w:pPr>
      <w:keepNext/>
      <w:numPr>
        <w:numId w:val="21"/>
      </w:numPr>
      <w:spacing w:before="120" w:after="60" w:line="240" w:lineRule="auto"/>
      <w:ind w:left="288" w:hanging="288"/>
    </w:pPr>
    <w:rPr>
      <w:rFonts w:eastAsia="MS Mincho" w:cs="Times New Roman"/>
      <w:b/>
      <w:sz w:val="20"/>
      <w:szCs w:val="24"/>
    </w:rPr>
  </w:style>
  <w:style w:type="character" w:customStyle="1" w:styleId="AKFsubsubnotTOCChar">
    <w:name w:val="AKF sub sub not TOC Char"/>
    <w:basedOn w:val="Heading3Char"/>
    <w:link w:val="AKFsubsubnotTOC"/>
    <w:rsid w:val="00926A09"/>
    <w:rPr>
      <w:rFonts w:ascii="Calibri" w:eastAsia="Times New Roman" w:hAnsi="Calibri" w:cs="Calibri"/>
      <w:color w:val="1F3763" w:themeColor="accent1" w:themeShade="7F"/>
      <w:sz w:val="24"/>
      <w:szCs w:val="24"/>
      <w:lang w:val="x-none" w:eastAsia="x-none"/>
    </w:rPr>
  </w:style>
  <w:style w:type="paragraph" w:styleId="FootnoteText">
    <w:name w:val="footnote text"/>
    <w:basedOn w:val="Normal"/>
    <w:link w:val="FootnoteTextChar"/>
    <w:uiPriority w:val="99"/>
    <w:semiHidden/>
    <w:rsid w:val="001430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430EF"/>
    <w:rPr>
      <w:rFonts w:ascii="Times New Roman" w:eastAsia="Times New Roman" w:hAnsi="Times New Roman" w:cs="Times New Roman"/>
      <w:sz w:val="20"/>
      <w:szCs w:val="20"/>
    </w:rPr>
  </w:style>
  <w:style w:type="character" w:styleId="FootnoteReference">
    <w:name w:val="footnote reference"/>
    <w:uiPriority w:val="99"/>
    <w:semiHidden/>
    <w:unhideWhenUsed/>
    <w:rsid w:val="001430EF"/>
    <w:rPr>
      <w:vertAlign w:val="superscript"/>
    </w:rPr>
  </w:style>
  <w:style w:type="character" w:customStyle="1" w:styleId="normaltextrun">
    <w:name w:val="normaltextrun"/>
    <w:basedOn w:val="DefaultParagraphFont"/>
    <w:rsid w:val="0014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6290">
      <w:bodyDiv w:val="1"/>
      <w:marLeft w:val="0"/>
      <w:marRight w:val="0"/>
      <w:marTop w:val="0"/>
      <w:marBottom w:val="0"/>
      <w:divBdr>
        <w:top w:val="none" w:sz="0" w:space="0" w:color="auto"/>
        <w:left w:val="none" w:sz="0" w:space="0" w:color="auto"/>
        <w:bottom w:val="none" w:sz="0" w:space="0" w:color="auto"/>
        <w:right w:val="none" w:sz="0" w:space="0" w:color="auto"/>
      </w:divBdr>
    </w:div>
    <w:div w:id="2050259162">
      <w:bodyDiv w:val="1"/>
      <w:marLeft w:val="0"/>
      <w:marRight w:val="0"/>
      <w:marTop w:val="0"/>
      <w:marBottom w:val="0"/>
      <w:divBdr>
        <w:top w:val="none" w:sz="0" w:space="0" w:color="auto"/>
        <w:left w:val="none" w:sz="0" w:space="0" w:color="auto"/>
        <w:bottom w:val="none" w:sz="0" w:space="0" w:color="auto"/>
        <w:right w:val="none" w:sz="0" w:space="0" w:color="auto"/>
      </w:divBdr>
    </w:div>
    <w:div w:id="207782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x.thomsonreuters.com/blog/what-are-starter-401k-plans-under-the-secure-2-0-act/"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finance.senate.gov/imo/media/doc/Secure%202.0_Section%20by%20Section%20Summary%2012-19-22%20FINAL.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thomsonreuters.com/blog/what-are-starter-401k-plans-under-the-secure-2-0-ac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5531-BCF6-468A-8BAD-D3C51F03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6859</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45870</CharactersWithSpaces>
  <SharedDoc>false</SharedDoc>
  <HLinks>
    <vt:vector size="42" baseType="variant">
      <vt:variant>
        <vt:i4>4653063</vt:i4>
      </vt:variant>
      <vt:variant>
        <vt:i4>18</vt:i4>
      </vt:variant>
      <vt:variant>
        <vt:i4>0</vt:i4>
      </vt:variant>
      <vt:variant>
        <vt:i4>5</vt:i4>
      </vt:variant>
      <vt:variant>
        <vt:lpwstr>https://www.guideline.com/portfolios/conservative</vt:lpwstr>
      </vt:variant>
      <vt:variant>
        <vt:lpwstr/>
      </vt:variant>
      <vt:variant>
        <vt:i4>4653063</vt:i4>
      </vt:variant>
      <vt:variant>
        <vt:i4>15</vt:i4>
      </vt:variant>
      <vt:variant>
        <vt:i4>0</vt:i4>
      </vt:variant>
      <vt:variant>
        <vt:i4>5</vt:i4>
      </vt:variant>
      <vt:variant>
        <vt:lpwstr>https://www.guideline.com/portfolios/conservative</vt:lpwstr>
      </vt:variant>
      <vt:variant>
        <vt:lpwstr/>
      </vt:variant>
      <vt:variant>
        <vt:i4>2359333</vt:i4>
      </vt:variant>
      <vt:variant>
        <vt:i4>12</vt:i4>
      </vt:variant>
      <vt:variant>
        <vt:i4>0</vt:i4>
      </vt:variant>
      <vt:variant>
        <vt:i4>5</vt:i4>
      </vt:variant>
      <vt:variant>
        <vt:lpwstr>https://success.guideline.com/helpcenter/s/article/Support-contact-information-and-operating-hours</vt:lpwstr>
      </vt:variant>
      <vt:variant>
        <vt:lpwstr/>
      </vt:variant>
      <vt:variant>
        <vt:i4>2359333</vt:i4>
      </vt:variant>
      <vt:variant>
        <vt:i4>9</vt:i4>
      </vt:variant>
      <vt:variant>
        <vt:i4>0</vt:i4>
      </vt:variant>
      <vt:variant>
        <vt:i4>5</vt:i4>
      </vt:variant>
      <vt:variant>
        <vt:lpwstr>https://success.guideline.com/helpcenter/s/article/Support-contact-information-and-operating-hours</vt:lpwstr>
      </vt:variant>
      <vt:variant>
        <vt:lpwstr/>
      </vt:variant>
      <vt:variant>
        <vt:i4>196609</vt:i4>
      </vt:variant>
      <vt:variant>
        <vt:i4>6</vt:i4>
      </vt:variant>
      <vt:variant>
        <vt:i4>0</vt:i4>
      </vt:variant>
      <vt:variant>
        <vt:i4>5</vt:i4>
      </vt:variant>
      <vt:variant>
        <vt:lpwstr>https://tax.thomsonreuters.com/blog/what-are-starter-401k-plans-under-the-secure-2-0-act/</vt:lpwstr>
      </vt:variant>
      <vt:variant>
        <vt:lpwstr/>
      </vt:variant>
      <vt:variant>
        <vt:i4>6553691</vt:i4>
      </vt:variant>
      <vt:variant>
        <vt:i4>3</vt:i4>
      </vt:variant>
      <vt:variant>
        <vt:i4>0</vt:i4>
      </vt:variant>
      <vt:variant>
        <vt:i4>5</vt:i4>
      </vt:variant>
      <vt:variant>
        <vt:lpwstr>https://www.finance.senate.gov/imo/media/doc/Secure 2.0_Section by Section Summary 12-19-22 FINAL.pdf</vt:lpwstr>
      </vt:variant>
      <vt:variant>
        <vt:lpwstr/>
      </vt:variant>
      <vt:variant>
        <vt:i4>196609</vt:i4>
      </vt:variant>
      <vt:variant>
        <vt:i4>0</vt:i4>
      </vt:variant>
      <vt:variant>
        <vt:i4>0</vt:i4>
      </vt:variant>
      <vt:variant>
        <vt:i4>5</vt:i4>
      </vt:variant>
      <vt:variant>
        <vt:lpwstr>https://tax.thomsonreuters.com/blog/what-are-starter-401k-plans-under-the-secure-2-0-act/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Brownell (TAX)</dc:creator>
  <cp:keywords/>
  <dc:description/>
  <cp:lastModifiedBy>Matthew Brownell (TAX)</cp:lastModifiedBy>
  <cp:revision>9</cp:revision>
  <dcterms:created xsi:type="dcterms:W3CDTF">2023-07-12T12:51:00Z</dcterms:created>
  <dcterms:modified xsi:type="dcterms:W3CDTF">2023-07-12T19:15:00Z</dcterms:modified>
</cp:coreProperties>
</file>