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2987"/>
        <w:gridCol w:w="3792"/>
      </w:tblGrid>
      <w:tr w:rsidR="00A52691" w:rsidRPr="00B82D15" w14:paraId="69D444B9" w14:textId="77777777" w:rsidTr="006F3D95">
        <w:trPr>
          <w:trHeight w:val="1080"/>
          <w:jc w:val="center"/>
        </w:trPr>
        <w:tc>
          <w:tcPr>
            <w:tcW w:w="9963" w:type="dxa"/>
            <w:gridSpan w:val="3"/>
          </w:tcPr>
          <w:p w14:paraId="58FC8056" w14:textId="77777777" w:rsidR="00A52691" w:rsidRPr="00B82D15" w:rsidRDefault="00A52691" w:rsidP="006F3D95">
            <w:pPr>
              <w:ind w:left="45"/>
              <w:rPr>
                <w:i/>
              </w:rPr>
            </w:pPr>
            <w:r>
              <w:rPr>
                <w:i/>
                <w:noProof/>
              </w:rPr>
              <w:drawing>
                <wp:inline distT="0" distB="0" distL="0" distR="0" wp14:anchorId="1DB41C5C" wp14:editId="21B0C838">
                  <wp:extent cx="2581275" cy="580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S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8650" cy="582445"/>
                          </a:xfrm>
                          <a:prstGeom prst="rect">
                            <a:avLst/>
                          </a:prstGeom>
                        </pic:spPr>
                      </pic:pic>
                    </a:graphicData>
                  </a:graphic>
                </wp:inline>
              </w:drawing>
            </w:r>
          </w:p>
        </w:tc>
      </w:tr>
      <w:tr w:rsidR="00A52691" w:rsidRPr="00FC432B" w14:paraId="56F19149" w14:textId="77777777" w:rsidTr="006F3D95">
        <w:trPr>
          <w:trHeight w:val="774"/>
          <w:jc w:val="center"/>
        </w:trPr>
        <w:tc>
          <w:tcPr>
            <w:tcW w:w="3184" w:type="dxa"/>
            <w:vAlign w:val="center"/>
          </w:tcPr>
          <w:p w14:paraId="0F5D531D" w14:textId="77777777" w:rsidR="00A52691" w:rsidRPr="00FC432B" w:rsidRDefault="00A52691" w:rsidP="006F3D95">
            <w:pPr>
              <w:spacing w:before="240" w:line="200" w:lineRule="exact"/>
              <w:ind w:left="45"/>
              <w:rPr>
                <w:rFonts w:ascii="Proxima Nova Rg" w:hAnsi="Proxima Nova Rg" w:cs="Arial"/>
                <w:b/>
                <w:caps/>
                <w:noProof/>
                <w:color w:val="646569"/>
                <w:sz w:val="20"/>
              </w:rPr>
            </w:pPr>
            <w:r>
              <w:rPr>
                <w:rFonts w:ascii="Proxima Nova Rg" w:hAnsi="Proxima Nova Rg" w:cs="Arial"/>
                <w:b/>
                <w:caps/>
                <w:noProof/>
                <w:color w:val="646569"/>
                <w:sz w:val="20"/>
              </w:rPr>
              <w:t>ERic Mostert</w:t>
            </w:r>
          </w:p>
          <w:p w14:paraId="0A4A3437" w14:textId="77777777" w:rsidR="00A52691" w:rsidRPr="00FC432B" w:rsidRDefault="00A52691" w:rsidP="006F3D95">
            <w:pPr>
              <w:ind w:left="45"/>
              <w:rPr>
                <w:rFonts w:ascii="Proxima Nova Rg" w:hAnsi="Proxima Nova Rg" w:cs="Arial"/>
                <w:noProof/>
                <w:color w:val="646569"/>
              </w:rPr>
            </w:pPr>
            <w:r>
              <w:rPr>
                <w:rFonts w:ascii="Proxima Nova Rg" w:hAnsi="Proxima Nova Rg" w:cs="Arial"/>
                <w:noProof/>
                <w:color w:val="646569"/>
                <w:sz w:val="20"/>
              </w:rPr>
              <w:t xml:space="preserve">Chief Financial Officer </w:t>
            </w:r>
          </w:p>
        </w:tc>
        <w:tc>
          <w:tcPr>
            <w:tcW w:w="2987" w:type="dxa"/>
            <w:vAlign w:val="center"/>
          </w:tcPr>
          <w:p w14:paraId="5BC1C9B1" w14:textId="77777777" w:rsidR="00A52691" w:rsidRDefault="00A52691" w:rsidP="006F3D95">
            <w:pPr>
              <w:spacing w:before="240" w:line="200" w:lineRule="exact"/>
              <w:ind w:left="250"/>
              <w:rPr>
                <w:rFonts w:ascii="Proxima Nova Rg" w:hAnsi="Proxima Nova Rg" w:cs="Arial"/>
                <w:b/>
                <w:caps/>
                <w:noProof/>
                <w:color w:val="646569"/>
                <w:sz w:val="20"/>
              </w:rPr>
            </w:pPr>
            <w:r>
              <w:rPr>
                <w:rFonts w:ascii="Proxima Nova Rg" w:hAnsi="Proxima Nova Rg" w:cs="Arial"/>
                <w:b/>
                <w:caps/>
                <w:noProof/>
                <w:color w:val="646569"/>
                <w:sz w:val="20"/>
              </w:rPr>
              <w:t>Amber Alexander</w:t>
            </w:r>
          </w:p>
          <w:p w14:paraId="34636F7B" w14:textId="77777777" w:rsidR="00A52691" w:rsidRPr="00FC432B" w:rsidRDefault="00A52691" w:rsidP="006F3D95">
            <w:pPr>
              <w:ind w:left="250"/>
              <w:rPr>
                <w:rFonts w:ascii="Proxima Nova Rg" w:hAnsi="Proxima Nova Rg"/>
                <w:noProof/>
                <w:color w:val="646569"/>
              </w:rPr>
            </w:pPr>
            <w:r w:rsidRPr="00B033C0">
              <w:rPr>
                <w:rFonts w:ascii="Proxima Nova Rg" w:hAnsi="Proxima Nova Rg" w:cs="Arial"/>
                <w:noProof/>
                <w:color w:val="646569"/>
                <w:sz w:val="20"/>
              </w:rPr>
              <w:t>Procurement Director</w:t>
            </w:r>
          </w:p>
        </w:tc>
        <w:tc>
          <w:tcPr>
            <w:tcW w:w="3792" w:type="dxa"/>
            <w:vAlign w:val="center"/>
          </w:tcPr>
          <w:p w14:paraId="65B895E7" w14:textId="77777777" w:rsidR="00A52691" w:rsidRDefault="00A52691" w:rsidP="006F3D95">
            <w:pPr>
              <w:spacing w:before="240" w:line="200" w:lineRule="exact"/>
              <w:ind w:left="593"/>
              <w:rPr>
                <w:rFonts w:ascii="Proxima Nova Rg" w:hAnsi="Proxima Nova Rg" w:cs="Arial"/>
                <w:b/>
                <w:caps/>
                <w:noProof/>
                <w:color w:val="646569"/>
                <w:sz w:val="20"/>
              </w:rPr>
            </w:pPr>
            <w:r>
              <w:rPr>
                <w:rFonts w:ascii="Proxima Nova Rg" w:hAnsi="Proxima Nova Rg" w:cs="Arial"/>
                <w:b/>
                <w:caps/>
                <w:noProof/>
                <w:color w:val="646569"/>
                <w:sz w:val="20"/>
              </w:rPr>
              <w:t>Debra mccallen</w:t>
            </w:r>
          </w:p>
          <w:p w14:paraId="755B9F0C" w14:textId="77777777" w:rsidR="00A52691" w:rsidRPr="00FC432B" w:rsidRDefault="00A52691" w:rsidP="006F3D95">
            <w:pPr>
              <w:ind w:left="593"/>
              <w:rPr>
                <w:rFonts w:ascii="Proxima Nova Rg" w:hAnsi="Proxima Nova Rg" w:cs="Arial"/>
                <w:caps/>
                <w:noProof/>
                <w:color w:val="646569"/>
                <w:sz w:val="20"/>
              </w:rPr>
            </w:pPr>
            <w:r w:rsidRPr="00B033C0">
              <w:rPr>
                <w:rFonts w:ascii="Proxima Nova Rg" w:hAnsi="Proxima Nova Rg" w:cs="Arial"/>
                <w:noProof/>
                <w:color w:val="646569"/>
                <w:sz w:val="20"/>
              </w:rPr>
              <w:t>Budget and Accounting Director</w:t>
            </w:r>
          </w:p>
        </w:tc>
      </w:tr>
    </w:tbl>
    <w:p w14:paraId="0C5F762A" w14:textId="77777777" w:rsidR="00A52691" w:rsidRDefault="00A52691" w:rsidP="001D0BDC">
      <w:pPr>
        <w:jc w:val="both"/>
        <w:rPr>
          <w:rFonts w:cs="Calibri"/>
        </w:rPr>
      </w:pPr>
    </w:p>
    <w:p w14:paraId="4544D82A" w14:textId="21CDA4AC" w:rsidR="00A52691" w:rsidRPr="003956C2" w:rsidRDefault="006F3D95" w:rsidP="00A52691">
      <w:pPr>
        <w:jc w:val="center"/>
        <w:rPr>
          <w:rFonts w:cs="Calibri"/>
          <w:sz w:val="32"/>
          <w:szCs w:val="32"/>
        </w:rPr>
      </w:pPr>
      <w:r w:rsidRPr="003956C2">
        <w:rPr>
          <w:rFonts w:cs="Calibri"/>
          <w:sz w:val="32"/>
          <w:szCs w:val="32"/>
        </w:rPr>
        <w:t>Request For Information</w:t>
      </w:r>
      <w:r w:rsidR="00E81E2B" w:rsidRPr="003956C2">
        <w:rPr>
          <w:rFonts w:cs="Calibri"/>
          <w:sz w:val="32"/>
          <w:szCs w:val="32"/>
        </w:rPr>
        <w:t xml:space="preserve"> (RFI)</w:t>
      </w:r>
      <w:r w:rsidR="00A52691" w:rsidRPr="003956C2">
        <w:rPr>
          <w:rFonts w:cs="Calibri"/>
          <w:sz w:val="32"/>
          <w:szCs w:val="32"/>
        </w:rPr>
        <w:t xml:space="preserve"> </w:t>
      </w:r>
      <w:r w:rsidR="003956C2" w:rsidRPr="003956C2">
        <w:rPr>
          <w:rFonts w:cs="Calibri"/>
          <w:sz w:val="32"/>
          <w:szCs w:val="32"/>
        </w:rPr>
        <w:t># 23-600</w:t>
      </w:r>
    </w:p>
    <w:p w14:paraId="7D2591DB" w14:textId="6BBF9904" w:rsidR="001D0BDC" w:rsidRDefault="001D0BDC" w:rsidP="001D0BDC">
      <w:pPr>
        <w:jc w:val="both"/>
        <w:rPr>
          <w:rFonts w:cs="Calibri"/>
        </w:rPr>
      </w:pPr>
      <w:r w:rsidRPr="001D0BDC">
        <w:rPr>
          <w:rFonts w:cs="Calibri"/>
        </w:rPr>
        <w:t xml:space="preserve">The New York State Department of Taxation and Finance (the “Department”) is </w:t>
      </w:r>
      <w:r w:rsidR="002701AA">
        <w:rPr>
          <w:rFonts w:cs="Calibri"/>
        </w:rPr>
        <w:t xml:space="preserve">looking for </w:t>
      </w:r>
      <w:r w:rsidRPr="001D0BDC">
        <w:rPr>
          <w:rFonts w:cs="Calibri"/>
        </w:rPr>
        <w:t xml:space="preserve">vendors to supply the Department with information which may be used when considering </w:t>
      </w:r>
      <w:r>
        <w:rPr>
          <w:rFonts w:cs="Calibri"/>
        </w:rPr>
        <w:t xml:space="preserve">a contract to procure </w:t>
      </w:r>
      <w:r w:rsidR="003F2746">
        <w:rPr>
          <w:rFonts w:cs="Calibri"/>
        </w:rPr>
        <w:t xml:space="preserve">Highway Use Tax (HUT) </w:t>
      </w:r>
      <w:r w:rsidR="00895A44">
        <w:rPr>
          <w:rFonts w:cs="Calibri"/>
        </w:rPr>
        <w:t xml:space="preserve">, </w:t>
      </w:r>
      <w:r w:rsidR="00895A44">
        <w:t xml:space="preserve">Automotive Fuel Carrier (AFC) </w:t>
      </w:r>
      <w:r w:rsidR="003F2746">
        <w:rPr>
          <w:rFonts w:cs="Calibri"/>
        </w:rPr>
        <w:t>and International Fuel Tax Agreement (IFTA) decals for its upcoming renewal periods</w:t>
      </w:r>
      <w:r>
        <w:rPr>
          <w:rFonts w:cs="Calibri"/>
        </w:rPr>
        <w:t>.</w:t>
      </w:r>
      <w:r w:rsidR="0035476D">
        <w:rPr>
          <w:rFonts w:cs="Calibri"/>
        </w:rPr>
        <w:t xml:space="preserve"> </w:t>
      </w:r>
    </w:p>
    <w:p w14:paraId="25596D28" w14:textId="2AD0DE61" w:rsidR="001D0BDC" w:rsidRPr="00936619" w:rsidRDefault="001D0BDC" w:rsidP="001D0BDC">
      <w:pPr>
        <w:jc w:val="both"/>
        <w:rPr>
          <w:rFonts w:cs="Calibri"/>
        </w:rPr>
      </w:pPr>
      <w:r w:rsidRPr="00936619">
        <w:rPr>
          <w:rFonts w:cs="Calibri"/>
        </w:rPr>
        <w:t>This is a request for information only. This RFI is issued solely for information and planning purposes – it does not constitute a</w:t>
      </w:r>
      <w:r w:rsidR="009C5EE1">
        <w:rPr>
          <w:rFonts w:cs="Calibri"/>
        </w:rPr>
        <w:t>n Invitation for Bid</w:t>
      </w:r>
      <w:r w:rsidRPr="00936619">
        <w:rPr>
          <w:rFonts w:cs="Calibri"/>
        </w:rPr>
        <w:t xml:space="preserve"> (</w:t>
      </w:r>
      <w:r w:rsidR="009C5EE1">
        <w:rPr>
          <w:rFonts w:cs="Calibri"/>
        </w:rPr>
        <w:t>IFB</w:t>
      </w:r>
      <w:r w:rsidRPr="00936619">
        <w:rPr>
          <w:rFonts w:cs="Calibri"/>
        </w:rPr>
        <w:t xml:space="preserve">) or a promise to issue an </w:t>
      </w:r>
      <w:r w:rsidR="009C5EE1">
        <w:rPr>
          <w:rFonts w:cs="Calibri"/>
        </w:rPr>
        <w:t>IFB</w:t>
      </w:r>
      <w:r w:rsidRPr="00936619">
        <w:rPr>
          <w:rFonts w:cs="Calibri"/>
        </w:rPr>
        <w:t xml:space="preserve"> in the future. Responde</w:t>
      </w:r>
      <w:r w:rsidR="00D31291">
        <w:rPr>
          <w:rFonts w:cs="Calibri"/>
        </w:rPr>
        <w:t>r</w:t>
      </w:r>
      <w:r w:rsidRPr="00936619">
        <w:rPr>
          <w:rFonts w:cs="Calibri"/>
        </w:rPr>
        <w:t>s are advised that the Department will not pay for any information or administrative costs incurred in response to this RFI. All costs associated with responding to this RFI will be solely at the responde</w:t>
      </w:r>
      <w:r w:rsidR="00D31291">
        <w:rPr>
          <w:rFonts w:cs="Calibri"/>
        </w:rPr>
        <w:t>r</w:t>
      </w:r>
      <w:r w:rsidRPr="00936619">
        <w:rPr>
          <w:rFonts w:cs="Calibri"/>
        </w:rPr>
        <w:t xml:space="preserve">s’ expense. Not responding to this RFI does not preclude participation in any future </w:t>
      </w:r>
      <w:r>
        <w:rPr>
          <w:rFonts w:cs="Calibri"/>
        </w:rPr>
        <w:t>IFB</w:t>
      </w:r>
      <w:r w:rsidRPr="00936619">
        <w:rPr>
          <w:rFonts w:cs="Calibri"/>
        </w:rPr>
        <w:t>, if issued.</w:t>
      </w:r>
    </w:p>
    <w:p w14:paraId="72BD4EE7" w14:textId="77777777" w:rsidR="001D0BDC" w:rsidRPr="00936619" w:rsidRDefault="001D0BDC" w:rsidP="001D0BDC">
      <w:pPr>
        <w:jc w:val="both"/>
        <w:rPr>
          <w:rFonts w:cs="Calibri"/>
          <w:b/>
          <w:u w:val="single"/>
        </w:rPr>
      </w:pPr>
      <w:r w:rsidRPr="00936619">
        <w:rPr>
          <w:rFonts w:cs="Calibri"/>
          <w:b/>
          <w:u w:val="single"/>
        </w:rPr>
        <w:t>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D0BDC" w:rsidRPr="00936619" w14:paraId="0CA54CEE" w14:textId="77777777" w:rsidTr="00665132">
        <w:trPr>
          <w:trHeight w:val="432"/>
        </w:trPr>
        <w:tc>
          <w:tcPr>
            <w:tcW w:w="4788" w:type="dxa"/>
            <w:vAlign w:val="center"/>
          </w:tcPr>
          <w:p w14:paraId="6388D6AC" w14:textId="77777777" w:rsidR="001D0BDC" w:rsidRPr="00936619" w:rsidRDefault="001D0BDC" w:rsidP="00665132">
            <w:pPr>
              <w:spacing w:after="0"/>
              <w:jc w:val="both"/>
              <w:rPr>
                <w:rFonts w:cs="Calibri"/>
                <w:b/>
              </w:rPr>
            </w:pPr>
            <w:r w:rsidRPr="00936619">
              <w:rPr>
                <w:rFonts w:cs="Calibri"/>
                <w:b/>
              </w:rPr>
              <w:t>Event</w:t>
            </w:r>
          </w:p>
        </w:tc>
        <w:tc>
          <w:tcPr>
            <w:tcW w:w="4788" w:type="dxa"/>
            <w:vAlign w:val="center"/>
          </w:tcPr>
          <w:p w14:paraId="13A06DE9" w14:textId="77777777" w:rsidR="001D0BDC" w:rsidRPr="00936619" w:rsidRDefault="001D0BDC" w:rsidP="00665132">
            <w:pPr>
              <w:spacing w:after="0"/>
              <w:jc w:val="both"/>
              <w:rPr>
                <w:rFonts w:cs="Calibri"/>
                <w:b/>
              </w:rPr>
            </w:pPr>
            <w:r w:rsidRPr="00936619">
              <w:rPr>
                <w:rFonts w:cs="Calibri"/>
                <w:b/>
              </w:rPr>
              <w:t>Date</w:t>
            </w:r>
          </w:p>
        </w:tc>
      </w:tr>
      <w:tr w:rsidR="001D0BDC" w:rsidRPr="00936619" w14:paraId="4AC3B236" w14:textId="77777777" w:rsidTr="00665132">
        <w:trPr>
          <w:trHeight w:val="432"/>
        </w:trPr>
        <w:tc>
          <w:tcPr>
            <w:tcW w:w="4788" w:type="dxa"/>
            <w:vAlign w:val="center"/>
          </w:tcPr>
          <w:p w14:paraId="3C84EC4D" w14:textId="77777777" w:rsidR="001D0BDC" w:rsidRPr="00936619" w:rsidRDefault="001D0BDC" w:rsidP="00665132">
            <w:pPr>
              <w:spacing w:after="0"/>
              <w:jc w:val="both"/>
              <w:rPr>
                <w:rFonts w:cs="Calibri"/>
              </w:rPr>
            </w:pPr>
            <w:r w:rsidRPr="00936619">
              <w:rPr>
                <w:rFonts w:cs="Calibri"/>
              </w:rPr>
              <w:t>Issuance of RFI</w:t>
            </w:r>
          </w:p>
        </w:tc>
        <w:tc>
          <w:tcPr>
            <w:tcW w:w="4788" w:type="dxa"/>
            <w:vAlign w:val="center"/>
          </w:tcPr>
          <w:p w14:paraId="526A1565" w14:textId="4AC06A26" w:rsidR="001D0BDC" w:rsidRPr="00936619" w:rsidRDefault="00197900" w:rsidP="00665132">
            <w:pPr>
              <w:spacing w:after="0"/>
              <w:jc w:val="both"/>
              <w:rPr>
                <w:rFonts w:cs="Calibri"/>
              </w:rPr>
            </w:pPr>
            <w:r>
              <w:rPr>
                <w:rFonts w:cs="Calibri"/>
              </w:rPr>
              <w:t>05/26</w:t>
            </w:r>
            <w:r w:rsidR="00EE2438">
              <w:rPr>
                <w:rFonts w:cs="Calibri"/>
              </w:rPr>
              <w:t>/20</w:t>
            </w:r>
            <w:r w:rsidR="003F2746">
              <w:rPr>
                <w:rFonts w:cs="Calibri"/>
              </w:rPr>
              <w:t>23</w:t>
            </w:r>
          </w:p>
        </w:tc>
      </w:tr>
      <w:tr w:rsidR="001D0BDC" w:rsidRPr="00936619" w14:paraId="64700738" w14:textId="77777777" w:rsidTr="00665132">
        <w:trPr>
          <w:trHeight w:val="432"/>
        </w:trPr>
        <w:tc>
          <w:tcPr>
            <w:tcW w:w="4788" w:type="dxa"/>
            <w:vAlign w:val="center"/>
          </w:tcPr>
          <w:p w14:paraId="50989862" w14:textId="77777777" w:rsidR="001D0BDC" w:rsidRPr="00936619" w:rsidRDefault="001D0BDC" w:rsidP="00665132">
            <w:pPr>
              <w:spacing w:after="0"/>
              <w:jc w:val="both"/>
              <w:rPr>
                <w:rFonts w:cs="Calibri"/>
              </w:rPr>
            </w:pPr>
            <w:r w:rsidRPr="00936619">
              <w:rPr>
                <w:rFonts w:cs="Calibri"/>
              </w:rPr>
              <w:t>Vendor Response Due</w:t>
            </w:r>
          </w:p>
        </w:tc>
        <w:tc>
          <w:tcPr>
            <w:tcW w:w="4788" w:type="dxa"/>
            <w:vAlign w:val="center"/>
          </w:tcPr>
          <w:p w14:paraId="091ACE7B" w14:textId="4B0CFF8D" w:rsidR="001D0BDC" w:rsidRPr="00936619" w:rsidRDefault="00197900" w:rsidP="00665132">
            <w:pPr>
              <w:spacing w:after="0"/>
              <w:jc w:val="both"/>
              <w:rPr>
                <w:rFonts w:cs="Calibri"/>
              </w:rPr>
            </w:pPr>
            <w:r>
              <w:rPr>
                <w:rFonts w:cs="Calibri"/>
              </w:rPr>
              <w:t>06/02</w:t>
            </w:r>
            <w:r w:rsidR="003F2746">
              <w:rPr>
                <w:rFonts w:cs="Calibri"/>
              </w:rPr>
              <w:t>/</w:t>
            </w:r>
            <w:r w:rsidR="00EE2438">
              <w:rPr>
                <w:rFonts w:cs="Calibri"/>
              </w:rPr>
              <w:t>202</w:t>
            </w:r>
            <w:r w:rsidR="003F2746">
              <w:rPr>
                <w:rFonts w:cs="Calibri"/>
              </w:rPr>
              <w:t>3</w:t>
            </w:r>
          </w:p>
        </w:tc>
      </w:tr>
    </w:tbl>
    <w:p w14:paraId="38D1D493" w14:textId="77777777" w:rsidR="001D0BDC" w:rsidRPr="00936619" w:rsidRDefault="001D0BDC" w:rsidP="001D0BDC">
      <w:pPr>
        <w:jc w:val="both"/>
        <w:rPr>
          <w:rFonts w:cs="Calibri"/>
        </w:rPr>
      </w:pPr>
    </w:p>
    <w:p w14:paraId="64D4CE16" w14:textId="77777777" w:rsidR="001D0BDC" w:rsidRPr="00936619" w:rsidRDefault="001D0BDC" w:rsidP="001D0BDC">
      <w:pPr>
        <w:jc w:val="both"/>
        <w:rPr>
          <w:rFonts w:cs="Calibri"/>
          <w:b/>
          <w:u w:val="single"/>
        </w:rPr>
      </w:pPr>
      <w:r w:rsidRPr="00936619">
        <w:rPr>
          <w:rFonts w:cs="Calibri"/>
          <w:b/>
          <w:u w:val="single"/>
        </w:rPr>
        <w:t>NYS Department of Taxation and Finance Background</w:t>
      </w:r>
    </w:p>
    <w:p w14:paraId="52F31528" w14:textId="6875D02C" w:rsidR="001D0BDC" w:rsidRPr="00936619" w:rsidRDefault="001D0BDC" w:rsidP="001D0BDC">
      <w:pPr>
        <w:pStyle w:val="Default"/>
        <w:spacing w:line="276" w:lineRule="auto"/>
        <w:jc w:val="both"/>
        <w:rPr>
          <w:rFonts w:ascii="Calibri" w:hAnsi="Calibri" w:cs="Calibri"/>
          <w:sz w:val="22"/>
          <w:szCs w:val="22"/>
        </w:rPr>
      </w:pPr>
      <w:r w:rsidRPr="00936619">
        <w:rPr>
          <w:rFonts w:ascii="Calibri" w:hAnsi="Calibri" w:cs="Calibri"/>
          <w:sz w:val="22"/>
          <w:szCs w:val="22"/>
        </w:rPr>
        <w:t>The Department of Taxation and Finance is responsible for the collection of tax revenue and the provision of associated services in support of government operations in New York State. In fulfilling its responsibilities, the Department collects and accounts for approximately $</w:t>
      </w:r>
      <w:r w:rsidR="003956C2">
        <w:rPr>
          <w:rFonts w:ascii="Calibri" w:hAnsi="Calibri" w:cs="Calibri"/>
          <w:sz w:val="22"/>
          <w:szCs w:val="22"/>
        </w:rPr>
        <w:t xml:space="preserve">118.5 </w:t>
      </w:r>
      <w:r w:rsidRPr="00936619">
        <w:rPr>
          <w:rFonts w:ascii="Calibri" w:hAnsi="Calibri" w:cs="Calibri"/>
          <w:sz w:val="22"/>
          <w:szCs w:val="22"/>
        </w:rPr>
        <w:t>billion in State taxes and nearly $</w:t>
      </w:r>
      <w:r w:rsidR="003956C2" w:rsidRPr="00936619">
        <w:rPr>
          <w:rFonts w:ascii="Calibri" w:hAnsi="Calibri" w:cs="Calibri"/>
          <w:sz w:val="22"/>
          <w:szCs w:val="22"/>
        </w:rPr>
        <w:t>4</w:t>
      </w:r>
      <w:r w:rsidR="003956C2">
        <w:rPr>
          <w:rFonts w:ascii="Calibri" w:hAnsi="Calibri" w:cs="Calibri"/>
          <w:sz w:val="22"/>
          <w:szCs w:val="22"/>
        </w:rPr>
        <w:t>3</w:t>
      </w:r>
      <w:r w:rsidR="003956C2" w:rsidRPr="00936619">
        <w:rPr>
          <w:rFonts w:ascii="Calibri" w:hAnsi="Calibri" w:cs="Calibri"/>
          <w:sz w:val="22"/>
          <w:szCs w:val="22"/>
        </w:rPr>
        <w:t xml:space="preserve"> </w:t>
      </w:r>
      <w:r w:rsidRPr="00936619">
        <w:rPr>
          <w:rFonts w:ascii="Calibri" w:hAnsi="Calibri" w:cs="Calibri"/>
          <w:sz w:val="22"/>
          <w:szCs w:val="22"/>
        </w:rPr>
        <w:t xml:space="preserve">billion in local taxes; administers </w:t>
      </w:r>
      <w:r w:rsidR="003956C2" w:rsidRPr="00936619">
        <w:rPr>
          <w:rFonts w:ascii="Calibri" w:hAnsi="Calibri" w:cs="Calibri"/>
          <w:sz w:val="22"/>
          <w:szCs w:val="22"/>
        </w:rPr>
        <w:t>3</w:t>
      </w:r>
      <w:r w:rsidR="003956C2">
        <w:rPr>
          <w:rFonts w:ascii="Calibri" w:hAnsi="Calibri" w:cs="Calibri"/>
          <w:sz w:val="22"/>
          <w:szCs w:val="22"/>
        </w:rPr>
        <w:t>2</w:t>
      </w:r>
      <w:r w:rsidR="003956C2" w:rsidRPr="00936619">
        <w:rPr>
          <w:rFonts w:ascii="Calibri" w:hAnsi="Calibri" w:cs="Calibri"/>
          <w:sz w:val="22"/>
          <w:szCs w:val="22"/>
        </w:rPr>
        <w:t xml:space="preserve"> </w:t>
      </w:r>
      <w:r w:rsidRPr="00936619">
        <w:rPr>
          <w:rFonts w:ascii="Calibri" w:hAnsi="Calibri" w:cs="Calibri"/>
          <w:sz w:val="22"/>
          <w:szCs w:val="22"/>
        </w:rPr>
        <w:t xml:space="preserve">State and </w:t>
      </w:r>
      <w:r w:rsidR="003956C2">
        <w:rPr>
          <w:rFonts w:ascii="Calibri" w:hAnsi="Calibri" w:cs="Calibri"/>
          <w:sz w:val="22"/>
          <w:szCs w:val="22"/>
        </w:rPr>
        <w:t>13</w:t>
      </w:r>
      <w:r w:rsidR="003956C2" w:rsidRPr="00936619">
        <w:rPr>
          <w:rFonts w:ascii="Calibri" w:hAnsi="Calibri" w:cs="Calibri"/>
          <w:sz w:val="22"/>
          <w:szCs w:val="22"/>
        </w:rPr>
        <w:t xml:space="preserve"> </w:t>
      </w:r>
      <w:r w:rsidRPr="00936619">
        <w:rPr>
          <w:rFonts w:ascii="Calibri" w:hAnsi="Calibri" w:cs="Calibri"/>
          <w:sz w:val="22"/>
          <w:szCs w:val="22"/>
        </w:rPr>
        <w:t>local taxes</w:t>
      </w:r>
      <w:r w:rsidR="003956C2" w:rsidRPr="003956C2">
        <w:rPr>
          <w:color w:val="24387E"/>
          <w:shd w:val="clear" w:color="auto" w:fill="FFFFFF"/>
        </w:rPr>
        <w:t xml:space="preserve"> </w:t>
      </w:r>
      <w:r w:rsidR="003956C2" w:rsidRPr="003956C2">
        <w:rPr>
          <w:rFonts w:ascii="Calibri" w:hAnsi="Calibri" w:cs="Calibri"/>
          <w:sz w:val="22"/>
          <w:szCs w:val="22"/>
        </w:rPr>
        <w:t xml:space="preserve">including New York City and City of Yonkers income </w:t>
      </w:r>
      <w:r w:rsidR="003956C2" w:rsidRPr="003956C2">
        <w:rPr>
          <w:rFonts w:ascii="Calibri" w:hAnsi="Calibri" w:cs="Calibri"/>
          <w:sz w:val="22"/>
          <w:szCs w:val="22"/>
        </w:rPr>
        <w:lastRenderedPageBreak/>
        <w:t>taxes, as well as the Metropolitan Commuter Transportation Mobility Tax;</w:t>
      </w:r>
      <w:r w:rsidRPr="00936619">
        <w:rPr>
          <w:rFonts w:ascii="Calibri" w:hAnsi="Calibri" w:cs="Calibri"/>
          <w:sz w:val="22"/>
          <w:szCs w:val="22"/>
        </w:rPr>
        <w:t xml:space="preserve"> processes </w:t>
      </w:r>
      <w:r w:rsidR="003956C2">
        <w:rPr>
          <w:rFonts w:ascii="Calibri" w:hAnsi="Calibri" w:cs="Calibri"/>
          <w:sz w:val="22"/>
          <w:szCs w:val="22"/>
        </w:rPr>
        <w:t>about</w:t>
      </w:r>
      <w:r w:rsidR="003956C2" w:rsidRPr="00936619">
        <w:rPr>
          <w:rFonts w:ascii="Calibri" w:hAnsi="Calibri" w:cs="Calibri"/>
          <w:sz w:val="22"/>
          <w:szCs w:val="22"/>
        </w:rPr>
        <w:t xml:space="preserve"> 2</w:t>
      </w:r>
      <w:r w:rsidR="003956C2">
        <w:rPr>
          <w:rFonts w:ascii="Calibri" w:hAnsi="Calibri" w:cs="Calibri"/>
          <w:sz w:val="22"/>
          <w:szCs w:val="22"/>
        </w:rPr>
        <w:t>9</w:t>
      </w:r>
      <w:r w:rsidR="003956C2" w:rsidRPr="00936619">
        <w:rPr>
          <w:rFonts w:ascii="Calibri" w:hAnsi="Calibri" w:cs="Calibri"/>
          <w:sz w:val="22"/>
          <w:szCs w:val="22"/>
        </w:rPr>
        <w:t xml:space="preserve"> </w:t>
      </w:r>
      <w:r w:rsidRPr="00936619">
        <w:rPr>
          <w:rFonts w:ascii="Calibri" w:hAnsi="Calibri" w:cs="Calibri"/>
          <w:sz w:val="22"/>
          <w:szCs w:val="22"/>
        </w:rPr>
        <w:t>million returns; and oversees the local property tax administration. The Department also manages the State Treasury, which provides investment and cash management services to various State agencies and public benefit corporations, and acts on the Commissioner’s behalf as the joint custodian of the State’s General Checking Account.</w:t>
      </w:r>
    </w:p>
    <w:p w14:paraId="7504DDD9" w14:textId="77777777" w:rsidR="0010510A" w:rsidRPr="00D54BE9" w:rsidRDefault="0010510A" w:rsidP="0010510A">
      <w:pPr>
        <w:pStyle w:val="NormalWeb"/>
        <w:shd w:val="clear" w:color="auto" w:fill="FFFFFF"/>
        <w:rPr>
          <w:rFonts w:ascii="Calibri" w:eastAsia="Calibri" w:hAnsi="Calibri" w:cs="Calibri"/>
          <w:color w:val="000000"/>
          <w:sz w:val="22"/>
          <w:szCs w:val="22"/>
        </w:rPr>
      </w:pPr>
      <w:r w:rsidRPr="00D54BE9">
        <w:rPr>
          <w:rFonts w:ascii="Calibri" w:eastAsia="Calibri" w:hAnsi="Calibri" w:cs="Calibri"/>
          <w:color w:val="000000"/>
          <w:sz w:val="22"/>
          <w:szCs w:val="22"/>
        </w:rPr>
        <w:t xml:space="preserve">New York State imposes a highway use tax (HUT) on motor carriers operating certain motor vehicles on New York State public highways. Before operating a motor vehicle on the public highways of New York State </w:t>
      </w:r>
      <w:r>
        <w:rPr>
          <w:rFonts w:ascii="Calibri" w:eastAsia="Calibri" w:hAnsi="Calibri" w:cs="Calibri"/>
          <w:color w:val="000000"/>
          <w:sz w:val="22"/>
          <w:szCs w:val="22"/>
        </w:rPr>
        <w:t>carriers</w:t>
      </w:r>
      <w:r w:rsidRPr="00D54BE9">
        <w:rPr>
          <w:rFonts w:ascii="Calibri" w:eastAsia="Calibri" w:hAnsi="Calibri" w:cs="Calibri"/>
          <w:color w:val="000000"/>
          <w:sz w:val="22"/>
          <w:szCs w:val="22"/>
        </w:rPr>
        <w:t xml:space="preserve"> must obtain a certificate of registration and decal for each motor vehicle subject to the highway use tax. There are two types of registrations:</w:t>
      </w:r>
    </w:p>
    <w:p w14:paraId="56BFB468" w14:textId="77777777" w:rsidR="0010510A" w:rsidRPr="00D54BE9" w:rsidRDefault="0010510A" w:rsidP="0010510A">
      <w:pPr>
        <w:numPr>
          <w:ilvl w:val="0"/>
          <w:numId w:val="8"/>
        </w:numPr>
        <w:shd w:val="clear" w:color="auto" w:fill="FFFFFF"/>
        <w:spacing w:before="100" w:beforeAutospacing="1" w:after="100" w:afterAutospacing="1" w:line="240" w:lineRule="auto"/>
        <w:rPr>
          <w:rFonts w:cs="Calibri"/>
          <w:color w:val="000000"/>
        </w:rPr>
      </w:pPr>
      <w:r w:rsidRPr="00D54BE9">
        <w:rPr>
          <w:rFonts w:cs="Calibri"/>
          <w:color w:val="000000"/>
        </w:rPr>
        <w:t>A HUT certificate of registration is required for any truck, tractor, or other self-propelled vehicle with a gross weight over 18,000 pounds. (If you elect to use the unloaded weight method to file your returns, a certificate is required for any truck with an unloaded weight over 8,000 pounds and any tractor with an unloaded weight over 4,000 pounds.)</w:t>
      </w:r>
    </w:p>
    <w:p w14:paraId="1378ED40" w14:textId="77777777" w:rsidR="0010510A" w:rsidRPr="00D54BE9" w:rsidRDefault="0010510A" w:rsidP="0010510A">
      <w:pPr>
        <w:numPr>
          <w:ilvl w:val="0"/>
          <w:numId w:val="8"/>
        </w:numPr>
        <w:shd w:val="clear" w:color="auto" w:fill="FFFFFF"/>
        <w:spacing w:before="100" w:beforeAutospacing="1" w:after="100" w:afterAutospacing="1" w:line="240" w:lineRule="auto"/>
        <w:rPr>
          <w:rFonts w:cs="Calibri"/>
          <w:color w:val="000000"/>
        </w:rPr>
      </w:pPr>
      <w:r w:rsidRPr="00D54BE9">
        <w:rPr>
          <w:rFonts w:cs="Calibri"/>
          <w:color w:val="000000"/>
        </w:rPr>
        <w:t>An automotive fuel carrier (AFC) certificate of registration is required for any truck, trailer, or semi-trailer, or other attached device transporting automotive fuel. (The same gross weight and unloaded weight rules apply.</w:t>
      </w:r>
    </w:p>
    <w:p w14:paraId="21326035" w14:textId="20851026" w:rsidR="0010510A" w:rsidRPr="00936619" w:rsidRDefault="0010510A" w:rsidP="0010510A">
      <w:pPr>
        <w:pStyle w:val="Default"/>
        <w:spacing w:line="276" w:lineRule="auto"/>
        <w:jc w:val="both"/>
        <w:rPr>
          <w:rFonts w:ascii="Calibri" w:hAnsi="Calibri" w:cs="Calibri"/>
          <w:sz w:val="22"/>
          <w:szCs w:val="22"/>
        </w:rPr>
      </w:pPr>
      <w:r>
        <w:rPr>
          <w:rFonts w:ascii="Calibri" w:hAnsi="Calibri" w:cs="Calibri"/>
          <w:sz w:val="22"/>
          <w:szCs w:val="22"/>
        </w:rPr>
        <w:t xml:space="preserve">Additionally, </w:t>
      </w:r>
      <w:r w:rsidRPr="00D54BE9">
        <w:rPr>
          <w:rFonts w:ascii="Calibri" w:hAnsi="Calibri" w:cs="Calibri"/>
          <w:sz w:val="22"/>
          <w:szCs w:val="22"/>
        </w:rPr>
        <w:t>New York State participates in the International Fuel Tax Agreement (IFTA) to administer and collect its fuel use tax.</w:t>
      </w:r>
      <w:r>
        <w:rPr>
          <w:rFonts w:ascii="Calibri" w:hAnsi="Calibri" w:cs="Calibri"/>
          <w:sz w:val="22"/>
          <w:szCs w:val="22"/>
        </w:rPr>
        <w:t xml:space="preserve"> </w:t>
      </w:r>
      <w:r w:rsidRPr="00D54BE9">
        <w:rPr>
          <w:rFonts w:ascii="Calibri" w:hAnsi="Calibri" w:cs="Calibri"/>
          <w:sz w:val="22"/>
          <w:szCs w:val="22"/>
        </w:rPr>
        <w:t>Qualified motor vehicles operating in more than one IFTA jurisdiction must have an IFTA license and decals to operate on New York State public highways.</w:t>
      </w:r>
    </w:p>
    <w:p w14:paraId="3982F551" w14:textId="77777777" w:rsidR="001D0BDC" w:rsidRPr="00936619" w:rsidRDefault="001D0BDC" w:rsidP="001D0BDC">
      <w:pPr>
        <w:pStyle w:val="NormalWeb"/>
        <w:spacing w:line="276" w:lineRule="auto"/>
        <w:jc w:val="both"/>
        <w:rPr>
          <w:rFonts w:ascii="Calibri" w:hAnsi="Calibri" w:cs="Calibri"/>
          <w:b/>
          <w:color w:val="000000"/>
          <w:sz w:val="22"/>
          <w:szCs w:val="22"/>
          <w:u w:val="single"/>
        </w:rPr>
      </w:pPr>
      <w:r w:rsidRPr="00936619">
        <w:rPr>
          <w:rFonts w:ascii="Calibri" w:hAnsi="Calibri" w:cs="Calibri"/>
          <w:b/>
          <w:color w:val="000000"/>
          <w:sz w:val="22"/>
          <w:szCs w:val="22"/>
          <w:u w:val="single"/>
        </w:rPr>
        <w:t xml:space="preserve">Objective </w:t>
      </w:r>
    </w:p>
    <w:p w14:paraId="30561A3B" w14:textId="56CB8C98" w:rsidR="0010510A" w:rsidRDefault="001D0BDC" w:rsidP="001D0BDC">
      <w:pPr>
        <w:pStyle w:val="NormalWeb"/>
        <w:spacing w:line="276" w:lineRule="auto"/>
        <w:jc w:val="both"/>
        <w:rPr>
          <w:rFonts w:ascii="Calibri" w:hAnsi="Calibri" w:cs="Calibri"/>
          <w:color w:val="000000"/>
          <w:sz w:val="22"/>
          <w:szCs w:val="22"/>
        </w:rPr>
      </w:pPr>
      <w:r w:rsidRPr="00936619">
        <w:rPr>
          <w:rFonts w:ascii="Calibri" w:hAnsi="Calibri" w:cs="Calibri"/>
          <w:color w:val="000000"/>
          <w:sz w:val="22"/>
          <w:szCs w:val="22"/>
        </w:rPr>
        <w:t xml:space="preserve">The Department is researching </w:t>
      </w:r>
      <w:r w:rsidR="0010510A">
        <w:rPr>
          <w:rFonts w:ascii="Calibri" w:hAnsi="Calibri" w:cs="Calibri"/>
          <w:color w:val="000000"/>
          <w:sz w:val="22"/>
          <w:szCs w:val="22"/>
        </w:rPr>
        <w:t>current options available in the marketplace  for the supply</w:t>
      </w:r>
      <w:r w:rsidR="00A30F4D">
        <w:rPr>
          <w:rFonts w:ascii="Calibri" w:hAnsi="Calibri" w:cs="Calibri"/>
          <w:color w:val="000000"/>
          <w:sz w:val="22"/>
          <w:szCs w:val="22"/>
        </w:rPr>
        <w:t xml:space="preserve">, </w:t>
      </w:r>
      <w:r w:rsidR="0010510A">
        <w:rPr>
          <w:rFonts w:ascii="Calibri" w:hAnsi="Calibri" w:cs="Calibri"/>
          <w:color w:val="000000"/>
          <w:sz w:val="22"/>
          <w:szCs w:val="22"/>
        </w:rPr>
        <w:t>production</w:t>
      </w:r>
      <w:r w:rsidR="00A30F4D">
        <w:rPr>
          <w:rFonts w:ascii="Calibri" w:hAnsi="Calibri" w:cs="Calibri"/>
          <w:color w:val="000000"/>
          <w:sz w:val="22"/>
          <w:szCs w:val="22"/>
        </w:rPr>
        <w:t xml:space="preserve"> and </w:t>
      </w:r>
      <w:r w:rsidR="007C3271">
        <w:rPr>
          <w:rFonts w:ascii="Calibri" w:hAnsi="Calibri" w:cs="Calibri"/>
          <w:color w:val="000000"/>
          <w:sz w:val="22"/>
          <w:szCs w:val="22"/>
        </w:rPr>
        <w:t>independent</w:t>
      </w:r>
      <w:r w:rsidR="00A30F4D">
        <w:rPr>
          <w:rFonts w:ascii="Calibri" w:hAnsi="Calibri" w:cs="Calibri"/>
          <w:color w:val="000000"/>
          <w:sz w:val="22"/>
          <w:szCs w:val="22"/>
        </w:rPr>
        <w:t xml:space="preserve"> testing</w:t>
      </w:r>
      <w:r w:rsidR="0010510A">
        <w:rPr>
          <w:rFonts w:ascii="Calibri" w:hAnsi="Calibri" w:cs="Calibri"/>
          <w:color w:val="000000"/>
          <w:sz w:val="22"/>
          <w:szCs w:val="22"/>
        </w:rPr>
        <w:t xml:space="preserve"> of stickers related to </w:t>
      </w:r>
      <w:r w:rsidR="003F2746">
        <w:rPr>
          <w:rFonts w:ascii="Calibri" w:hAnsi="Calibri" w:cs="Calibri"/>
          <w:color w:val="000000"/>
          <w:sz w:val="22"/>
          <w:szCs w:val="22"/>
        </w:rPr>
        <w:t xml:space="preserve">Registration Decals </w:t>
      </w:r>
      <w:r w:rsidR="0010510A">
        <w:rPr>
          <w:rFonts w:ascii="Calibri" w:hAnsi="Calibri" w:cs="Calibri"/>
          <w:color w:val="000000"/>
          <w:sz w:val="22"/>
          <w:szCs w:val="22"/>
        </w:rPr>
        <w:t xml:space="preserve">needed </w:t>
      </w:r>
      <w:r w:rsidR="005E2E64">
        <w:rPr>
          <w:rFonts w:ascii="Calibri" w:hAnsi="Calibri" w:cs="Calibri"/>
          <w:color w:val="000000"/>
          <w:sz w:val="22"/>
          <w:szCs w:val="22"/>
        </w:rPr>
        <w:t xml:space="preserve">for the </w:t>
      </w:r>
      <w:r w:rsidR="009A36EC">
        <w:rPr>
          <w:rFonts w:ascii="Calibri" w:hAnsi="Calibri" w:cs="Calibri"/>
          <w:color w:val="000000"/>
          <w:sz w:val="22"/>
          <w:szCs w:val="22"/>
        </w:rPr>
        <w:t>D</w:t>
      </w:r>
      <w:r w:rsidR="005E2E64">
        <w:rPr>
          <w:rFonts w:ascii="Calibri" w:hAnsi="Calibri" w:cs="Calibri"/>
          <w:color w:val="000000"/>
          <w:sz w:val="22"/>
          <w:szCs w:val="22"/>
        </w:rPr>
        <w:t>epartment</w:t>
      </w:r>
      <w:r w:rsidR="009A36EC">
        <w:rPr>
          <w:rFonts w:ascii="Calibri" w:hAnsi="Calibri" w:cs="Calibri"/>
          <w:color w:val="000000"/>
          <w:sz w:val="22"/>
          <w:szCs w:val="22"/>
        </w:rPr>
        <w:t>’</w:t>
      </w:r>
      <w:r w:rsidR="005E2E64">
        <w:rPr>
          <w:rFonts w:ascii="Calibri" w:hAnsi="Calibri" w:cs="Calibri"/>
          <w:color w:val="000000"/>
          <w:sz w:val="22"/>
          <w:szCs w:val="22"/>
        </w:rPr>
        <w:t xml:space="preserve">s </w:t>
      </w:r>
      <w:r w:rsidR="0010510A">
        <w:rPr>
          <w:rFonts w:ascii="Calibri" w:hAnsi="Calibri" w:cs="Calibri"/>
          <w:color w:val="000000"/>
          <w:sz w:val="22"/>
          <w:szCs w:val="22"/>
        </w:rPr>
        <w:t xml:space="preserve">upcoming </w:t>
      </w:r>
      <w:r w:rsidR="003F2746">
        <w:rPr>
          <w:rFonts w:ascii="Calibri" w:hAnsi="Calibri" w:cs="Calibri"/>
          <w:color w:val="000000"/>
          <w:sz w:val="22"/>
          <w:szCs w:val="22"/>
        </w:rPr>
        <w:t>HUT</w:t>
      </w:r>
      <w:r w:rsidR="0010510A">
        <w:rPr>
          <w:rFonts w:ascii="Calibri" w:hAnsi="Calibri" w:cs="Calibri"/>
          <w:color w:val="000000"/>
          <w:sz w:val="22"/>
          <w:szCs w:val="22"/>
        </w:rPr>
        <w:t>, AFC</w:t>
      </w:r>
      <w:r w:rsidR="003F2746">
        <w:rPr>
          <w:rFonts w:ascii="Calibri" w:hAnsi="Calibri" w:cs="Calibri"/>
          <w:color w:val="000000"/>
          <w:sz w:val="22"/>
          <w:szCs w:val="22"/>
        </w:rPr>
        <w:t xml:space="preserve"> and IFTA registration</w:t>
      </w:r>
      <w:r w:rsidR="00391DF1">
        <w:rPr>
          <w:rFonts w:ascii="Calibri" w:hAnsi="Calibri" w:cs="Calibri"/>
          <w:color w:val="000000"/>
          <w:sz w:val="22"/>
          <w:szCs w:val="22"/>
        </w:rPr>
        <w:t xml:space="preserve"> periods</w:t>
      </w:r>
      <w:r w:rsidR="005E2E64">
        <w:rPr>
          <w:rFonts w:ascii="Calibri" w:hAnsi="Calibri" w:cs="Calibri"/>
          <w:color w:val="000000"/>
          <w:sz w:val="22"/>
          <w:szCs w:val="22"/>
        </w:rPr>
        <w:t>.</w:t>
      </w:r>
      <w:r w:rsidR="009A36EC">
        <w:rPr>
          <w:rFonts w:ascii="Calibri" w:hAnsi="Calibri" w:cs="Calibri"/>
          <w:color w:val="000000"/>
          <w:sz w:val="22"/>
          <w:szCs w:val="22"/>
        </w:rPr>
        <w:t xml:space="preserve"> </w:t>
      </w:r>
      <w:r w:rsidR="009939FA">
        <w:rPr>
          <w:rFonts w:ascii="Calibri" w:hAnsi="Calibri" w:cs="Calibri"/>
          <w:color w:val="000000"/>
          <w:sz w:val="22"/>
          <w:szCs w:val="22"/>
        </w:rPr>
        <w:t xml:space="preserve">The Department </w:t>
      </w:r>
      <w:r w:rsidR="0010510A">
        <w:rPr>
          <w:rFonts w:ascii="Calibri" w:hAnsi="Calibri" w:cs="Calibri"/>
          <w:color w:val="000000"/>
          <w:sz w:val="22"/>
          <w:szCs w:val="22"/>
        </w:rPr>
        <w:t xml:space="preserve">is interested in information regarding its options for sticker/decal stock that exists in the marketplace that meets the specifications outlined herein, the timeframe for producing and delivering the decals to the Department and the testing options the vendor community can provide to ensure the decals meet the required specifications. </w:t>
      </w:r>
      <w:r w:rsidR="00E343F2" w:rsidRPr="00E343F2">
        <w:rPr>
          <w:rFonts w:ascii="Calibri" w:hAnsi="Calibri" w:cs="Calibri"/>
          <w:color w:val="000000"/>
          <w:sz w:val="22"/>
          <w:szCs w:val="22"/>
        </w:rPr>
        <w:t>See attachment “A” for decal specifications for all decals.</w:t>
      </w:r>
    </w:p>
    <w:p w14:paraId="254F5402" w14:textId="49E919EF" w:rsidR="0010510A" w:rsidRDefault="0010510A" w:rsidP="001D0BDC">
      <w:pPr>
        <w:pStyle w:val="NormalWeb"/>
        <w:spacing w:line="276" w:lineRule="auto"/>
        <w:jc w:val="both"/>
        <w:rPr>
          <w:rFonts w:ascii="Calibri" w:hAnsi="Calibri" w:cs="Calibri"/>
          <w:color w:val="000000"/>
          <w:sz w:val="22"/>
          <w:szCs w:val="22"/>
        </w:rPr>
      </w:pPr>
      <w:r w:rsidRPr="00D54BE9">
        <w:rPr>
          <w:rFonts w:ascii="Calibri" w:hAnsi="Calibri" w:cs="Calibri"/>
          <w:b/>
          <w:bCs/>
          <w:color w:val="000000"/>
          <w:sz w:val="22"/>
          <w:szCs w:val="22"/>
          <w:u w:val="single"/>
        </w:rPr>
        <w:t>HUT/AFC</w:t>
      </w:r>
      <w:r w:rsidR="00E343F2">
        <w:rPr>
          <w:rFonts w:ascii="Calibri" w:hAnsi="Calibri" w:cs="Calibri"/>
          <w:b/>
          <w:bCs/>
          <w:color w:val="000000"/>
          <w:sz w:val="22"/>
          <w:szCs w:val="22"/>
          <w:u w:val="single"/>
        </w:rPr>
        <w:t xml:space="preserve"> - </w:t>
      </w:r>
      <w:r>
        <w:rPr>
          <w:rFonts w:ascii="Calibri" w:hAnsi="Calibri" w:cs="Calibri"/>
          <w:color w:val="000000"/>
          <w:sz w:val="22"/>
          <w:szCs w:val="22"/>
        </w:rPr>
        <w:t xml:space="preserve">Order Volume (one order every three years): </w:t>
      </w:r>
      <w:r w:rsidR="009939FA">
        <w:rPr>
          <w:rFonts w:ascii="Calibri" w:hAnsi="Calibri" w:cs="Calibri"/>
          <w:color w:val="000000"/>
          <w:sz w:val="22"/>
          <w:szCs w:val="22"/>
        </w:rPr>
        <w:t>currently</w:t>
      </w:r>
      <w:r>
        <w:rPr>
          <w:rFonts w:ascii="Calibri" w:hAnsi="Calibri" w:cs="Calibri"/>
          <w:color w:val="000000"/>
          <w:sz w:val="22"/>
          <w:szCs w:val="22"/>
        </w:rPr>
        <w:t>, the Department</w:t>
      </w:r>
      <w:r w:rsidR="009939FA">
        <w:rPr>
          <w:rFonts w:ascii="Calibri" w:hAnsi="Calibri" w:cs="Calibri"/>
          <w:color w:val="000000"/>
          <w:sz w:val="22"/>
          <w:szCs w:val="22"/>
        </w:rPr>
        <w:t xml:space="preserve"> </w:t>
      </w:r>
      <w:r w:rsidR="003F2746">
        <w:rPr>
          <w:rFonts w:ascii="Calibri" w:hAnsi="Calibri" w:cs="Calibri"/>
          <w:color w:val="000000"/>
          <w:sz w:val="22"/>
          <w:szCs w:val="22"/>
        </w:rPr>
        <w:t xml:space="preserve">requires </w:t>
      </w:r>
      <w:r w:rsidR="009939FA">
        <w:rPr>
          <w:rFonts w:ascii="Calibri" w:hAnsi="Calibri" w:cs="Calibri"/>
          <w:color w:val="000000"/>
          <w:sz w:val="22"/>
          <w:szCs w:val="22"/>
        </w:rPr>
        <w:t xml:space="preserve">approximately </w:t>
      </w:r>
      <w:r w:rsidR="002701AA">
        <w:rPr>
          <w:rFonts w:ascii="Calibri" w:hAnsi="Calibri" w:cs="Calibri"/>
          <w:color w:val="000000"/>
          <w:sz w:val="22"/>
          <w:szCs w:val="22"/>
        </w:rPr>
        <w:t>1.7</w:t>
      </w:r>
      <w:r w:rsidR="003F2746">
        <w:rPr>
          <w:rFonts w:ascii="Calibri" w:hAnsi="Calibri" w:cs="Calibri"/>
          <w:color w:val="000000"/>
          <w:sz w:val="22"/>
          <w:szCs w:val="22"/>
        </w:rPr>
        <w:t xml:space="preserve"> million HUT decals</w:t>
      </w:r>
      <w:r w:rsidR="00E343F2">
        <w:rPr>
          <w:rFonts w:ascii="Calibri" w:hAnsi="Calibri" w:cs="Calibri"/>
          <w:color w:val="000000"/>
          <w:sz w:val="22"/>
          <w:szCs w:val="22"/>
        </w:rPr>
        <w:t xml:space="preserve"> and </w:t>
      </w:r>
      <w:r w:rsidR="00895A44">
        <w:rPr>
          <w:rFonts w:ascii="Calibri" w:hAnsi="Calibri" w:cs="Calibri"/>
          <w:color w:val="000000"/>
          <w:sz w:val="22"/>
          <w:szCs w:val="22"/>
        </w:rPr>
        <w:t xml:space="preserve"> 25,000 AFC </w:t>
      </w:r>
      <w:r w:rsidR="00E343F2">
        <w:rPr>
          <w:rFonts w:ascii="Calibri" w:hAnsi="Calibri" w:cs="Calibri"/>
          <w:color w:val="000000"/>
          <w:sz w:val="22"/>
          <w:szCs w:val="22"/>
        </w:rPr>
        <w:t>decals per order.</w:t>
      </w:r>
    </w:p>
    <w:p w14:paraId="7009E712" w14:textId="4A17F768" w:rsidR="009A36EC" w:rsidRDefault="0010510A" w:rsidP="001D0BDC">
      <w:pPr>
        <w:pStyle w:val="NormalWeb"/>
        <w:spacing w:line="276" w:lineRule="auto"/>
        <w:jc w:val="both"/>
        <w:rPr>
          <w:rFonts w:ascii="Calibri" w:hAnsi="Calibri" w:cs="Calibri"/>
          <w:color w:val="000000"/>
          <w:sz w:val="22"/>
          <w:szCs w:val="22"/>
        </w:rPr>
      </w:pPr>
      <w:r w:rsidRPr="00D54BE9">
        <w:rPr>
          <w:rFonts w:ascii="Calibri" w:hAnsi="Calibri" w:cs="Calibri"/>
          <w:b/>
          <w:bCs/>
          <w:color w:val="000000"/>
          <w:sz w:val="22"/>
          <w:szCs w:val="22"/>
          <w:u w:val="single"/>
        </w:rPr>
        <w:t>IFTA:</w:t>
      </w:r>
      <w:r w:rsidR="00E343F2">
        <w:rPr>
          <w:rFonts w:ascii="Calibri" w:hAnsi="Calibri" w:cs="Calibri"/>
          <w:b/>
          <w:bCs/>
          <w:color w:val="000000"/>
          <w:sz w:val="22"/>
          <w:szCs w:val="22"/>
          <w:u w:val="single"/>
        </w:rPr>
        <w:t xml:space="preserve"> </w:t>
      </w:r>
      <w:r>
        <w:rPr>
          <w:rFonts w:ascii="Calibri" w:hAnsi="Calibri" w:cs="Calibri"/>
          <w:color w:val="000000"/>
          <w:sz w:val="22"/>
          <w:szCs w:val="22"/>
        </w:rPr>
        <w:t xml:space="preserve">Order Volume (one order annually): currently, the Department requires </w:t>
      </w:r>
      <w:r w:rsidR="003F2746">
        <w:rPr>
          <w:rFonts w:ascii="Calibri" w:hAnsi="Calibri" w:cs="Calibri"/>
          <w:color w:val="000000"/>
          <w:sz w:val="22"/>
          <w:szCs w:val="22"/>
        </w:rPr>
        <w:t xml:space="preserve">and 70,000 IFTA decals for our upcoming registration periods (IFTA in </w:t>
      </w:r>
      <w:r w:rsidR="00391DF1">
        <w:rPr>
          <w:rFonts w:ascii="Calibri" w:hAnsi="Calibri" w:cs="Calibri"/>
          <w:color w:val="000000"/>
          <w:sz w:val="22"/>
          <w:szCs w:val="22"/>
        </w:rPr>
        <w:t>November</w:t>
      </w:r>
      <w:r w:rsidR="003F2746">
        <w:rPr>
          <w:rFonts w:ascii="Calibri" w:hAnsi="Calibri" w:cs="Calibri"/>
          <w:color w:val="000000"/>
          <w:sz w:val="22"/>
          <w:szCs w:val="22"/>
        </w:rPr>
        <w:t xml:space="preserve"> 2023 and HUT</w:t>
      </w:r>
      <w:r w:rsidR="00895A44">
        <w:rPr>
          <w:rFonts w:ascii="Calibri" w:hAnsi="Calibri" w:cs="Calibri"/>
          <w:color w:val="000000"/>
          <w:sz w:val="22"/>
          <w:szCs w:val="22"/>
        </w:rPr>
        <w:t>/AFC</w:t>
      </w:r>
      <w:r w:rsidR="003F2746">
        <w:rPr>
          <w:rFonts w:ascii="Calibri" w:hAnsi="Calibri" w:cs="Calibri"/>
          <w:color w:val="000000"/>
          <w:sz w:val="22"/>
          <w:szCs w:val="22"/>
        </w:rPr>
        <w:t xml:space="preserve"> in November 2024).  </w:t>
      </w:r>
    </w:p>
    <w:p w14:paraId="6A0ED963" w14:textId="6E50F153" w:rsidR="00391DF1" w:rsidRDefault="0059286A" w:rsidP="001D0BDC">
      <w:pPr>
        <w:pStyle w:val="NormalWeb"/>
        <w:spacing w:line="276" w:lineRule="auto"/>
        <w:jc w:val="both"/>
        <w:rPr>
          <w:rFonts w:ascii="Calibri" w:hAnsi="Calibri" w:cs="Calibri"/>
          <w:color w:val="000000"/>
          <w:sz w:val="22"/>
          <w:szCs w:val="22"/>
        </w:rPr>
      </w:pPr>
      <w:r>
        <w:rPr>
          <w:rFonts w:ascii="Calibri" w:hAnsi="Calibri" w:cs="Calibri"/>
          <w:color w:val="000000"/>
          <w:sz w:val="22"/>
          <w:szCs w:val="22"/>
        </w:rPr>
        <w:t xml:space="preserve">In  </w:t>
      </w:r>
      <w:r w:rsidR="00391DF1">
        <w:rPr>
          <w:rFonts w:ascii="Calibri" w:hAnsi="Calibri" w:cs="Calibri"/>
          <w:color w:val="000000"/>
          <w:sz w:val="22"/>
          <w:szCs w:val="22"/>
        </w:rPr>
        <w:t xml:space="preserve">both instances </w:t>
      </w:r>
      <w:r>
        <w:rPr>
          <w:rFonts w:ascii="Calibri" w:hAnsi="Calibri" w:cs="Calibri"/>
          <w:color w:val="000000"/>
          <w:sz w:val="22"/>
          <w:szCs w:val="22"/>
        </w:rPr>
        <w:t>the Department would</w:t>
      </w:r>
      <w:r w:rsidR="00391DF1">
        <w:rPr>
          <w:rFonts w:ascii="Calibri" w:hAnsi="Calibri" w:cs="Calibri"/>
          <w:color w:val="000000"/>
          <w:sz w:val="22"/>
          <w:szCs w:val="22"/>
        </w:rPr>
        <w:t xml:space="preserve"> require testing of the decals that must:</w:t>
      </w:r>
    </w:p>
    <w:p w14:paraId="258D88CC" w14:textId="5D7A2E8A" w:rsidR="00391DF1" w:rsidRDefault="00A82AD5" w:rsidP="00951B37">
      <w:pPr>
        <w:pStyle w:val="NormalWeb"/>
        <w:numPr>
          <w:ilvl w:val="0"/>
          <w:numId w:val="7"/>
        </w:numPr>
        <w:spacing w:line="276" w:lineRule="auto"/>
        <w:jc w:val="both"/>
        <w:rPr>
          <w:rFonts w:ascii="Calibri" w:hAnsi="Calibri" w:cs="Calibri"/>
          <w:color w:val="000000"/>
          <w:sz w:val="22"/>
          <w:szCs w:val="22"/>
        </w:rPr>
      </w:pPr>
      <w:r>
        <w:rPr>
          <w:rFonts w:ascii="Calibri" w:hAnsi="Calibri" w:cs="Calibri"/>
          <w:color w:val="000000"/>
          <w:sz w:val="22"/>
          <w:szCs w:val="22"/>
        </w:rPr>
        <w:lastRenderedPageBreak/>
        <w:t>b</w:t>
      </w:r>
      <w:r w:rsidR="00F509B8">
        <w:rPr>
          <w:rFonts w:ascii="Calibri" w:hAnsi="Calibri" w:cs="Calibri"/>
          <w:color w:val="000000"/>
          <w:sz w:val="22"/>
          <w:szCs w:val="22"/>
        </w:rPr>
        <w:t xml:space="preserve">e tested by </w:t>
      </w:r>
      <w:r w:rsidR="00391DF1">
        <w:rPr>
          <w:rFonts w:ascii="Calibri" w:hAnsi="Calibri" w:cs="Calibri"/>
          <w:color w:val="000000"/>
          <w:sz w:val="22"/>
          <w:szCs w:val="22"/>
        </w:rPr>
        <w:t xml:space="preserve">an independent lab </w:t>
      </w:r>
      <w:r w:rsidR="00895A44">
        <w:rPr>
          <w:rFonts w:ascii="Calibri" w:hAnsi="Calibri" w:cs="Calibri"/>
          <w:color w:val="000000"/>
          <w:sz w:val="22"/>
          <w:szCs w:val="22"/>
        </w:rPr>
        <w:t xml:space="preserve">to test </w:t>
      </w:r>
      <w:r w:rsidR="00391DF1">
        <w:rPr>
          <w:rFonts w:ascii="Calibri" w:hAnsi="Calibri" w:cs="Calibri"/>
          <w:color w:val="000000"/>
          <w:sz w:val="22"/>
          <w:szCs w:val="22"/>
        </w:rPr>
        <w:t>for the qualities listed under “Decal Test requirements “ in Attachment “</w:t>
      </w:r>
      <w:r w:rsidR="000E5235">
        <w:rPr>
          <w:rFonts w:ascii="Calibri" w:hAnsi="Calibri" w:cs="Calibri"/>
          <w:color w:val="000000"/>
          <w:sz w:val="22"/>
          <w:szCs w:val="22"/>
        </w:rPr>
        <w:t>A</w:t>
      </w:r>
      <w:r w:rsidR="00391DF1">
        <w:rPr>
          <w:rFonts w:ascii="Calibri" w:hAnsi="Calibri" w:cs="Calibri"/>
          <w:color w:val="000000"/>
          <w:sz w:val="22"/>
          <w:szCs w:val="22"/>
        </w:rPr>
        <w:t>”</w:t>
      </w:r>
    </w:p>
    <w:p w14:paraId="46F2A05D" w14:textId="35A2BD5D" w:rsidR="0059286A" w:rsidRDefault="00391DF1" w:rsidP="00951B37">
      <w:pPr>
        <w:pStyle w:val="NormalWeb"/>
        <w:numPr>
          <w:ilvl w:val="0"/>
          <w:numId w:val="7"/>
        </w:numPr>
        <w:spacing w:line="276" w:lineRule="auto"/>
        <w:jc w:val="both"/>
        <w:rPr>
          <w:rFonts w:ascii="Calibri" w:hAnsi="Calibri" w:cs="Calibri"/>
          <w:color w:val="000000"/>
          <w:sz w:val="22"/>
          <w:szCs w:val="22"/>
        </w:rPr>
      </w:pPr>
      <w:r>
        <w:rPr>
          <w:rFonts w:ascii="Calibri" w:hAnsi="Calibri" w:cs="Calibri"/>
          <w:color w:val="000000"/>
          <w:sz w:val="22"/>
          <w:szCs w:val="22"/>
        </w:rPr>
        <w:t xml:space="preserve">have the results provided directly to DTF for review.  We also will require a designated number of test decals be sent to DTF for inspection/review.    </w:t>
      </w:r>
    </w:p>
    <w:p w14:paraId="29A3D16C" w14:textId="3F477014" w:rsidR="00951B37" w:rsidRDefault="0010510A" w:rsidP="001D0BDC">
      <w:pPr>
        <w:pStyle w:val="NormalWeb"/>
        <w:spacing w:line="276" w:lineRule="auto"/>
        <w:jc w:val="both"/>
        <w:rPr>
          <w:rFonts w:ascii="Calibri" w:hAnsi="Calibri" w:cs="Calibri"/>
          <w:color w:val="000000"/>
          <w:sz w:val="22"/>
          <w:szCs w:val="22"/>
        </w:rPr>
      </w:pPr>
      <w:r>
        <w:rPr>
          <w:rFonts w:ascii="Calibri" w:hAnsi="Calibri" w:cs="Calibri"/>
          <w:color w:val="000000"/>
          <w:sz w:val="22"/>
          <w:szCs w:val="22"/>
        </w:rPr>
        <w:t>Please respond by providing the following Information</w:t>
      </w:r>
      <w:r w:rsidR="00951B37">
        <w:rPr>
          <w:rFonts w:ascii="Calibri" w:hAnsi="Calibri" w:cs="Calibri"/>
          <w:color w:val="000000"/>
          <w:sz w:val="22"/>
          <w:szCs w:val="22"/>
        </w:rPr>
        <w:t>:</w:t>
      </w:r>
    </w:p>
    <w:p w14:paraId="7376637C" w14:textId="32A37A32" w:rsidR="0010510A" w:rsidRDefault="0010510A" w:rsidP="0010510A">
      <w:pPr>
        <w:pStyle w:val="ListParagraph"/>
        <w:numPr>
          <w:ilvl w:val="0"/>
          <w:numId w:val="9"/>
        </w:numPr>
        <w:jc w:val="both"/>
        <w:rPr>
          <w:rFonts w:cs="Calibri"/>
        </w:rPr>
      </w:pPr>
      <w:r>
        <w:rPr>
          <w:rFonts w:cs="Calibri"/>
        </w:rPr>
        <w:t>Sticker stock options</w:t>
      </w:r>
      <w:r w:rsidR="00B66410">
        <w:rPr>
          <w:rFonts w:cs="Calibri"/>
        </w:rPr>
        <w:t xml:space="preserve"> you  offer</w:t>
      </w:r>
      <w:r>
        <w:rPr>
          <w:rFonts w:cs="Calibri"/>
        </w:rPr>
        <w:t xml:space="preserve"> that will meet the requirements</w:t>
      </w:r>
      <w:r w:rsidR="00B66410">
        <w:rPr>
          <w:rFonts w:cs="Calibri"/>
        </w:rPr>
        <w:t xml:space="preserve"> listed on Attachment A</w:t>
      </w:r>
      <w:r>
        <w:rPr>
          <w:rFonts w:cs="Calibri"/>
        </w:rPr>
        <w:t>. Information should include type of adhesive, application method, tamper proof evidence, etc.</w:t>
      </w:r>
      <w:r w:rsidR="00B66410">
        <w:rPr>
          <w:rFonts w:cs="Calibri"/>
        </w:rPr>
        <w:t xml:space="preserve"> Vendors are encouraged to submit sample stock with their response.</w:t>
      </w:r>
    </w:p>
    <w:p w14:paraId="68D94AC7" w14:textId="03873641" w:rsidR="0082432C" w:rsidRDefault="00020F5B" w:rsidP="0082432C">
      <w:pPr>
        <w:pStyle w:val="ListParagraph"/>
        <w:numPr>
          <w:ilvl w:val="1"/>
          <w:numId w:val="9"/>
        </w:numPr>
        <w:jc w:val="both"/>
        <w:rPr>
          <w:rFonts w:cs="Calibri"/>
        </w:rPr>
      </w:pPr>
      <w:r>
        <w:rPr>
          <w:rFonts w:cs="Calibri"/>
        </w:rPr>
        <w:t>Any</w:t>
      </w:r>
      <w:r w:rsidR="0082432C">
        <w:rPr>
          <w:rFonts w:cs="Calibri"/>
        </w:rPr>
        <w:t xml:space="preserve"> guarantee</w:t>
      </w:r>
      <w:r>
        <w:rPr>
          <w:rFonts w:cs="Calibri"/>
        </w:rPr>
        <w:t>s you offer that</w:t>
      </w:r>
      <w:r w:rsidR="0082432C">
        <w:rPr>
          <w:rFonts w:cs="Calibri"/>
        </w:rPr>
        <w:t xml:space="preserve"> the stickers will adhere for the duration as outlined in Attachment A and your process for replacing any stickers that fail to meet the specifications.</w:t>
      </w:r>
    </w:p>
    <w:p w14:paraId="7A5F4620" w14:textId="77777777" w:rsidR="00B66410" w:rsidRDefault="00B66410" w:rsidP="00B66410">
      <w:pPr>
        <w:pStyle w:val="ListParagraph"/>
        <w:ind w:left="1440"/>
        <w:jc w:val="both"/>
        <w:rPr>
          <w:rFonts w:cs="Calibri"/>
        </w:rPr>
      </w:pPr>
    </w:p>
    <w:p w14:paraId="1FD37A92" w14:textId="1D5B3A9B" w:rsidR="0010510A" w:rsidRDefault="0010510A" w:rsidP="0010510A">
      <w:pPr>
        <w:pStyle w:val="ListParagraph"/>
        <w:numPr>
          <w:ilvl w:val="0"/>
          <w:numId w:val="9"/>
        </w:numPr>
        <w:jc w:val="both"/>
        <w:rPr>
          <w:rFonts w:cs="Calibri"/>
        </w:rPr>
      </w:pPr>
      <w:r>
        <w:rPr>
          <w:rFonts w:cs="Calibri"/>
        </w:rPr>
        <w:t xml:space="preserve">Approximate number of days from date of order to delivery to Albany, NY. Note that HUT and AFC decals are ordered together every 36 months. IFTA decals are ordered separately on an annual basis. </w:t>
      </w:r>
    </w:p>
    <w:p w14:paraId="6687B457" w14:textId="7C9E8ED7" w:rsidR="0082432C" w:rsidRDefault="00020F5B" w:rsidP="0082432C">
      <w:pPr>
        <w:pStyle w:val="ListParagraph"/>
        <w:numPr>
          <w:ilvl w:val="1"/>
          <w:numId w:val="9"/>
        </w:numPr>
        <w:jc w:val="both"/>
        <w:rPr>
          <w:rFonts w:cs="Calibri"/>
        </w:rPr>
      </w:pPr>
      <w:r>
        <w:rPr>
          <w:rFonts w:cs="Calibri"/>
        </w:rPr>
        <w:t>Any guarantee you offer regarding</w:t>
      </w:r>
      <w:r w:rsidR="0082432C">
        <w:rPr>
          <w:rFonts w:cs="Calibri"/>
        </w:rPr>
        <w:t xml:space="preserve"> delivery, please provide what that is as well. </w:t>
      </w:r>
    </w:p>
    <w:p w14:paraId="73114949" w14:textId="27E93465" w:rsidR="00EF5303" w:rsidRDefault="00EF5303" w:rsidP="00EF5303">
      <w:pPr>
        <w:pStyle w:val="ListParagraph"/>
        <w:ind w:left="1800"/>
        <w:jc w:val="both"/>
        <w:rPr>
          <w:rFonts w:cs="Calibri"/>
        </w:rPr>
      </w:pPr>
    </w:p>
    <w:p w14:paraId="388BDCDC" w14:textId="03A22968" w:rsidR="00EF5303" w:rsidRPr="004B5076" w:rsidRDefault="004B5076" w:rsidP="004B5076">
      <w:pPr>
        <w:pStyle w:val="ListParagraph"/>
        <w:numPr>
          <w:ilvl w:val="0"/>
          <w:numId w:val="11"/>
        </w:numPr>
        <w:ind w:left="1440"/>
        <w:jc w:val="both"/>
        <w:rPr>
          <w:rFonts w:cs="Calibri"/>
        </w:rPr>
      </w:pPr>
      <w:r w:rsidRPr="004B5076">
        <w:rPr>
          <w:rFonts w:cs="Calibri"/>
        </w:rPr>
        <w:t>If there are any paper industry conditions/delays that currently exist that the Department should be aware of.</w:t>
      </w:r>
    </w:p>
    <w:p w14:paraId="7F75AB08" w14:textId="386BA4B9" w:rsidR="00A82AD5" w:rsidRDefault="00A82AD5" w:rsidP="001D0BDC">
      <w:pPr>
        <w:pStyle w:val="NormalWeb"/>
        <w:spacing w:line="276" w:lineRule="auto"/>
        <w:jc w:val="both"/>
        <w:rPr>
          <w:rFonts w:ascii="Calibri" w:hAnsi="Calibri" w:cs="Calibri"/>
          <w:color w:val="000000"/>
          <w:sz w:val="22"/>
          <w:szCs w:val="22"/>
        </w:rPr>
      </w:pPr>
    </w:p>
    <w:tbl>
      <w:tblPr>
        <w:tblStyle w:val="TableGrid"/>
        <w:tblW w:w="0" w:type="auto"/>
        <w:tblLook w:val="04A0" w:firstRow="1" w:lastRow="0" w:firstColumn="1" w:lastColumn="0" w:noHBand="0" w:noVBand="1"/>
      </w:tblPr>
      <w:tblGrid>
        <w:gridCol w:w="6565"/>
        <w:gridCol w:w="6030"/>
      </w:tblGrid>
      <w:tr w:rsidR="00A82AD5" w14:paraId="47A62E6C" w14:textId="77777777" w:rsidTr="009341DF">
        <w:tc>
          <w:tcPr>
            <w:tcW w:w="6565" w:type="dxa"/>
          </w:tcPr>
          <w:p w14:paraId="0C01A179" w14:textId="77777777" w:rsidR="00A82AD5" w:rsidRDefault="00A82AD5" w:rsidP="00076D01">
            <w:pPr>
              <w:jc w:val="both"/>
              <w:rPr>
                <w:rFonts w:cs="Calibri"/>
              </w:rPr>
            </w:pPr>
            <w:r>
              <w:rPr>
                <w:rFonts w:cs="Calibri"/>
              </w:rPr>
              <w:t>The Department is asking for responses to these specific questions:</w:t>
            </w:r>
          </w:p>
        </w:tc>
        <w:tc>
          <w:tcPr>
            <w:tcW w:w="6030" w:type="dxa"/>
          </w:tcPr>
          <w:p w14:paraId="359C48EB" w14:textId="77777777" w:rsidR="00A82AD5" w:rsidRDefault="00A82AD5" w:rsidP="00076D01">
            <w:pPr>
              <w:jc w:val="both"/>
              <w:rPr>
                <w:rFonts w:cs="Calibri"/>
              </w:rPr>
            </w:pPr>
            <w:r>
              <w:rPr>
                <w:rFonts w:cs="Calibri"/>
              </w:rPr>
              <w:t>Response:</w:t>
            </w:r>
          </w:p>
        </w:tc>
      </w:tr>
      <w:tr w:rsidR="00A82AD5" w14:paraId="6DB36C74" w14:textId="77777777" w:rsidTr="009341DF">
        <w:tc>
          <w:tcPr>
            <w:tcW w:w="6565" w:type="dxa"/>
          </w:tcPr>
          <w:p w14:paraId="4D4FB0E9" w14:textId="3439F807" w:rsidR="00A82AD5" w:rsidRPr="00A82AD5" w:rsidRDefault="00A82AD5" w:rsidP="00076D01">
            <w:pPr>
              <w:pStyle w:val="ListParagraph"/>
              <w:numPr>
                <w:ilvl w:val="0"/>
                <w:numId w:val="3"/>
              </w:numPr>
              <w:contextualSpacing w:val="0"/>
              <w:rPr>
                <w:rFonts w:eastAsia="Times New Roman"/>
              </w:rPr>
            </w:pPr>
            <w:r>
              <w:rPr>
                <w:rFonts w:eastAsia="Times New Roman"/>
              </w:rPr>
              <w:t xml:space="preserve">Has the vendor previously had this testing phase in your procurement agreements? </w:t>
            </w:r>
            <w:r w:rsidR="009341DF">
              <w:rPr>
                <w:rFonts w:eastAsia="Times New Roman"/>
              </w:rPr>
              <w:t xml:space="preserve">   If so, have you experienced any issues with the testing phase?</w:t>
            </w:r>
          </w:p>
        </w:tc>
        <w:tc>
          <w:tcPr>
            <w:tcW w:w="6030" w:type="dxa"/>
          </w:tcPr>
          <w:p w14:paraId="1B962CD6" w14:textId="77777777" w:rsidR="00A82AD5" w:rsidRDefault="00A82AD5" w:rsidP="00076D01">
            <w:pPr>
              <w:jc w:val="both"/>
              <w:rPr>
                <w:rFonts w:cs="Calibri"/>
              </w:rPr>
            </w:pPr>
            <w:r>
              <w:rPr>
                <w:rFonts w:cs="Calibri"/>
              </w:rPr>
              <w:fldChar w:fldCharType="begin">
                <w:ffData>
                  <w:name w:val="Check1"/>
                  <w:enabled/>
                  <w:calcOnExit w:val="0"/>
                  <w:checkBox>
                    <w:sizeAuto/>
                    <w:default w:val="0"/>
                  </w:checkBox>
                </w:ffData>
              </w:fldChar>
            </w:r>
            <w:r>
              <w:rPr>
                <w:rFonts w:cs="Calibri"/>
              </w:rPr>
              <w:instrText xml:space="preserve"> FORMCHECKBOX </w:instrText>
            </w:r>
            <w:r w:rsidR="006A0525">
              <w:rPr>
                <w:rFonts w:cs="Calibri"/>
              </w:rPr>
            </w:r>
            <w:r w:rsidR="006A0525">
              <w:rPr>
                <w:rFonts w:cs="Calibri"/>
              </w:rPr>
              <w:fldChar w:fldCharType="separate"/>
            </w:r>
            <w:r>
              <w:rPr>
                <w:rFonts w:cs="Calibri"/>
              </w:rPr>
              <w:fldChar w:fldCharType="end"/>
            </w:r>
            <w:r>
              <w:rPr>
                <w:rFonts w:cs="Calibri"/>
              </w:rPr>
              <w:t xml:space="preserve">Yes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6A0525">
              <w:rPr>
                <w:rFonts w:cs="Calibri"/>
              </w:rPr>
            </w:r>
            <w:r w:rsidR="006A0525">
              <w:rPr>
                <w:rFonts w:cs="Calibri"/>
              </w:rPr>
              <w:fldChar w:fldCharType="separate"/>
            </w:r>
            <w:r>
              <w:rPr>
                <w:rFonts w:cs="Calibri"/>
              </w:rPr>
              <w:fldChar w:fldCharType="end"/>
            </w:r>
            <w:r>
              <w:rPr>
                <w:rFonts w:cs="Calibri"/>
              </w:rPr>
              <w:t xml:space="preserve"> No</w:t>
            </w:r>
          </w:p>
          <w:p w14:paraId="7B826CEF" w14:textId="77777777" w:rsidR="008D69B7" w:rsidRDefault="008D69B7" w:rsidP="00076D01">
            <w:pPr>
              <w:jc w:val="both"/>
              <w:rPr>
                <w:rFonts w:cs="Calibri"/>
              </w:rPr>
            </w:pPr>
          </w:p>
          <w:p w14:paraId="119C5B2C" w14:textId="77777777" w:rsidR="008D69B7" w:rsidRDefault="008D69B7" w:rsidP="00076D01">
            <w:pPr>
              <w:jc w:val="both"/>
              <w:rPr>
                <w:rFonts w:cs="Calibri"/>
              </w:rPr>
            </w:pPr>
          </w:p>
          <w:p w14:paraId="36626986" w14:textId="6AF228CF" w:rsidR="008D69B7" w:rsidRDefault="008D69B7" w:rsidP="008D69B7">
            <w:pPr>
              <w:jc w:val="both"/>
              <w:rPr>
                <w:rFonts w:cs="Calibri"/>
              </w:rPr>
            </w:pPr>
            <w:r>
              <w:rPr>
                <w:rFonts w:cs="Calibri"/>
              </w:rPr>
              <w:t xml:space="preserve">Response: </w:t>
            </w:r>
          </w:p>
          <w:p w14:paraId="67147BF1" w14:textId="77777777" w:rsidR="008D69B7" w:rsidRDefault="008D69B7" w:rsidP="008D69B7">
            <w:pPr>
              <w:jc w:val="both"/>
              <w:rPr>
                <w:rFonts w:cs="Calibri"/>
              </w:rPr>
            </w:pPr>
          </w:p>
          <w:p w14:paraId="0542C605" w14:textId="559A0AC7" w:rsidR="008D69B7" w:rsidRDefault="008D69B7" w:rsidP="00076D01">
            <w:pPr>
              <w:jc w:val="both"/>
              <w:rPr>
                <w:rFonts w:cs="Calibri"/>
              </w:rPr>
            </w:pPr>
          </w:p>
        </w:tc>
      </w:tr>
      <w:tr w:rsidR="00A82AD5" w14:paraId="7AAB5CB3" w14:textId="77777777" w:rsidTr="009341DF">
        <w:trPr>
          <w:trHeight w:val="530"/>
        </w:trPr>
        <w:tc>
          <w:tcPr>
            <w:tcW w:w="6565" w:type="dxa"/>
          </w:tcPr>
          <w:p w14:paraId="3EEF4826" w14:textId="67E70FDD" w:rsidR="00A82AD5" w:rsidRPr="009A36EC" w:rsidRDefault="00A82AD5" w:rsidP="00076D01">
            <w:pPr>
              <w:pStyle w:val="ListParagraph"/>
              <w:numPr>
                <w:ilvl w:val="0"/>
                <w:numId w:val="3"/>
              </w:numPr>
              <w:jc w:val="both"/>
              <w:rPr>
                <w:rFonts w:cs="Calibri"/>
              </w:rPr>
            </w:pPr>
            <w:r>
              <w:rPr>
                <w:rFonts w:cs="Calibri"/>
              </w:rPr>
              <w:t xml:space="preserve">If </w:t>
            </w:r>
            <w:r w:rsidR="00D31291">
              <w:rPr>
                <w:rFonts w:cs="Calibri"/>
              </w:rPr>
              <w:t xml:space="preserve">NYS DTF </w:t>
            </w:r>
            <w:r>
              <w:rPr>
                <w:rFonts w:cs="Calibri"/>
              </w:rPr>
              <w:t>require</w:t>
            </w:r>
            <w:r w:rsidR="00D31291">
              <w:rPr>
                <w:rFonts w:cs="Calibri"/>
              </w:rPr>
              <w:t>s</w:t>
            </w:r>
            <w:r>
              <w:rPr>
                <w:rFonts w:cs="Calibri"/>
              </w:rPr>
              <w:t xml:space="preserve"> an independent test lab to meet specifications, </w:t>
            </w:r>
            <w:r w:rsidR="00D31291">
              <w:rPr>
                <w:rFonts w:cs="Calibri"/>
              </w:rPr>
              <w:t xml:space="preserve">would </w:t>
            </w:r>
            <w:r>
              <w:rPr>
                <w:rFonts w:cs="Calibri"/>
              </w:rPr>
              <w:t>additional time be needed in the procurement process</w:t>
            </w:r>
            <w:r w:rsidR="00D31291">
              <w:rPr>
                <w:rFonts w:cs="Calibri"/>
              </w:rPr>
              <w:t>? And if so, how much?</w:t>
            </w:r>
          </w:p>
        </w:tc>
        <w:tc>
          <w:tcPr>
            <w:tcW w:w="6030" w:type="dxa"/>
          </w:tcPr>
          <w:p w14:paraId="57D35DA6" w14:textId="77777777" w:rsidR="002D32F1" w:rsidRDefault="002D32F1" w:rsidP="002D32F1">
            <w:pPr>
              <w:jc w:val="both"/>
              <w:rPr>
                <w:rFonts w:cs="Calibri"/>
              </w:rPr>
            </w:pPr>
            <w:r>
              <w:rPr>
                <w:rFonts w:cs="Calibri"/>
              </w:rPr>
              <w:fldChar w:fldCharType="begin">
                <w:ffData>
                  <w:name w:val="Check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r>
              <w:rPr>
                <w:rFonts w:cs="Calibri"/>
              </w:rPr>
              <w:t xml:space="preserve">Yes  </w:t>
            </w:r>
            <w:r>
              <w:rPr>
                <w:rFonts w:cs="Calibri"/>
              </w:rPr>
              <w:fldChar w:fldCharType="begin">
                <w:ffData>
                  <w:name w:val="Check2"/>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r>
              <w:rPr>
                <w:rFonts w:cs="Calibri"/>
              </w:rPr>
              <w:t xml:space="preserve"> No</w:t>
            </w:r>
          </w:p>
          <w:p w14:paraId="62BCA0F7" w14:textId="77777777" w:rsidR="002D32F1" w:rsidRDefault="002D32F1" w:rsidP="002D32F1">
            <w:pPr>
              <w:jc w:val="both"/>
              <w:rPr>
                <w:rFonts w:cs="Calibri"/>
              </w:rPr>
            </w:pPr>
          </w:p>
          <w:p w14:paraId="797800A3" w14:textId="77777777" w:rsidR="002D32F1" w:rsidRDefault="002D32F1" w:rsidP="002D32F1">
            <w:pPr>
              <w:jc w:val="both"/>
              <w:rPr>
                <w:rFonts w:cs="Calibri"/>
              </w:rPr>
            </w:pPr>
          </w:p>
          <w:p w14:paraId="0BBD7669" w14:textId="7876F88B" w:rsidR="002D32F1" w:rsidRDefault="002D32F1" w:rsidP="002D32F1">
            <w:pPr>
              <w:jc w:val="both"/>
              <w:rPr>
                <w:rFonts w:cs="Calibri"/>
              </w:rPr>
            </w:pPr>
            <w:r>
              <w:rPr>
                <w:rFonts w:cs="Calibri"/>
              </w:rPr>
              <w:t xml:space="preserve">Response: </w:t>
            </w:r>
          </w:p>
          <w:p w14:paraId="0729D58D" w14:textId="77777777" w:rsidR="008D69B7" w:rsidRDefault="008D69B7" w:rsidP="002D32F1">
            <w:pPr>
              <w:jc w:val="both"/>
              <w:rPr>
                <w:rFonts w:cs="Calibri"/>
              </w:rPr>
            </w:pPr>
          </w:p>
          <w:p w14:paraId="7CAFADCC" w14:textId="77777777" w:rsidR="00A82AD5" w:rsidRDefault="00A82AD5" w:rsidP="00076D01">
            <w:pPr>
              <w:jc w:val="both"/>
              <w:rPr>
                <w:rFonts w:cs="Calibri"/>
              </w:rPr>
            </w:pPr>
          </w:p>
        </w:tc>
      </w:tr>
      <w:tr w:rsidR="00A82AD5" w14:paraId="323677F3" w14:textId="77777777" w:rsidTr="009341DF">
        <w:trPr>
          <w:trHeight w:val="530"/>
        </w:trPr>
        <w:tc>
          <w:tcPr>
            <w:tcW w:w="6565" w:type="dxa"/>
          </w:tcPr>
          <w:p w14:paraId="30A1CBEE" w14:textId="054F3EAC" w:rsidR="003223FA" w:rsidRPr="00951B37" w:rsidRDefault="003223FA" w:rsidP="003223FA">
            <w:pPr>
              <w:pStyle w:val="ListParagraph"/>
              <w:numPr>
                <w:ilvl w:val="0"/>
                <w:numId w:val="3"/>
              </w:numPr>
              <w:rPr>
                <w:rFonts w:eastAsiaTheme="minorHAnsi"/>
              </w:rPr>
            </w:pPr>
            <w:r>
              <w:lastRenderedPageBreak/>
              <w:t xml:space="preserve">Will independent lab testing raise the cost, and if so, please estimate how </w:t>
            </w:r>
            <w:r w:rsidR="009C0BAE">
              <w:t>much?</w:t>
            </w:r>
          </w:p>
          <w:p w14:paraId="55B33615" w14:textId="77777777" w:rsidR="00A82AD5" w:rsidRPr="009A36EC" w:rsidRDefault="00A82AD5" w:rsidP="00076D01">
            <w:pPr>
              <w:pStyle w:val="ListParagraph"/>
              <w:jc w:val="both"/>
              <w:rPr>
                <w:rFonts w:cs="Calibri"/>
              </w:rPr>
            </w:pPr>
          </w:p>
        </w:tc>
        <w:tc>
          <w:tcPr>
            <w:tcW w:w="6030" w:type="dxa"/>
          </w:tcPr>
          <w:p w14:paraId="43C5942B" w14:textId="77777777" w:rsidR="00A82AD5" w:rsidRDefault="002D32F1" w:rsidP="00076D01">
            <w:pPr>
              <w:jc w:val="both"/>
              <w:rPr>
                <w:rFonts w:cs="Calibri"/>
              </w:rPr>
            </w:pPr>
            <w:r>
              <w:rPr>
                <w:rFonts w:cs="Calibri"/>
              </w:rPr>
              <w:fldChar w:fldCharType="begin">
                <w:ffData>
                  <w:name w:val="Check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r>
              <w:rPr>
                <w:rFonts w:cs="Calibri"/>
              </w:rPr>
              <w:t xml:space="preserve">Yes  </w:t>
            </w:r>
            <w:r>
              <w:rPr>
                <w:rFonts w:cs="Calibri"/>
              </w:rPr>
              <w:fldChar w:fldCharType="begin">
                <w:ffData>
                  <w:name w:val="Check2"/>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r>
              <w:rPr>
                <w:rFonts w:cs="Calibri"/>
              </w:rPr>
              <w:t xml:space="preserve"> No</w:t>
            </w:r>
          </w:p>
          <w:p w14:paraId="4F6B6ABF" w14:textId="77777777" w:rsidR="002D32F1" w:rsidRDefault="002D32F1" w:rsidP="00076D01">
            <w:pPr>
              <w:jc w:val="both"/>
              <w:rPr>
                <w:rFonts w:cs="Calibri"/>
              </w:rPr>
            </w:pPr>
          </w:p>
          <w:p w14:paraId="5DE306B1" w14:textId="77777777" w:rsidR="002D32F1" w:rsidRDefault="002D32F1" w:rsidP="00076D01">
            <w:pPr>
              <w:jc w:val="both"/>
              <w:rPr>
                <w:rFonts w:cs="Calibri"/>
              </w:rPr>
            </w:pPr>
          </w:p>
          <w:p w14:paraId="1F8CB2E3" w14:textId="2C1F9BE3" w:rsidR="002D32F1" w:rsidRDefault="002D32F1" w:rsidP="00076D01">
            <w:pPr>
              <w:jc w:val="both"/>
              <w:rPr>
                <w:rFonts w:cs="Calibri"/>
              </w:rPr>
            </w:pPr>
            <w:r>
              <w:rPr>
                <w:rFonts w:cs="Calibri"/>
              </w:rPr>
              <w:t xml:space="preserve">Response: </w:t>
            </w:r>
          </w:p>
          <w:p w14:paraId="601ACADB" w14:textId="77777777" w:rsidR="002D32F1" w:rsidRDefault="002D32F1" w:rsidP="00076D01">
            <w:pPr>
              <w:jc w:val="both"/>
              <w:rPr>
                <w:rFonts w:cs="Calibri"/>
              </w:rPr>
            </w:pPr>
          </w:p>
          <w:p w14:paraId="572E9C7E" w14:textId="73B77545" w:rsidR="002D32F1" w:rsidRDefault="002D32F1" w:rsidP="00076D01">
            <w:pPr>
              <w:jc w:val="both"/>
              <w:rPr>
                <w:rFonts w:cs="Calibri"/>
              </w:rPr>
            </w:pPr>
          </w:p>
        </w:tc>
      </w:tr>
    </w:tbl>
    <w:p w14:paraId="149E54C7" w14:textId="77777777" w:rsidR="00A82AD5" w:rsidRDefault="00A82AD5" w:rsidP="001D0BDC">
      <w:pPr>
        <w:pStyle w:val="NormalWeb"/>
        <w:spacing w:line="276" w:lineRule="auto"/>
        <w:jc w:val="both"/>
        <w:rPr>
          <w:rFonts w:ascii="Calibri" w:hAnsi="Calibri" w:cs="Calibri"/>
          <w:color w:val="000000"/>
          <w:sz w:val="22"/>
          <w:szCs w:val="22"/>
        </w:rPr>
      </w:pPr>
    </w:p>
    <w:p w14:paraId="73DF77B9" w14:textId="77777777" w:rsidR="001D0BDC" w:rsidRPr="00936619" w:rsidRDefault="001D0BDC" w:rsidP="001D0BDC">
      <w:pPr>
        <w:pStyle w:val="NormalWeb"/>
        <w:spacing w:line="276" w:lineRule="auto"/>
        <w:jc w:val="both"/>
        <w:rPr>
          <w:rFonts w:ascii="Calibri" w:hAnsi="Calibri" w:cs="Calibri"/>
          <w:b/>
          <w:color w:val="000000"/>
          <w:sz w:val="22"/>
          <w:szCs w:val="22"/>
          <w:u w:val="single"/>
        </w:rPr>
      </w:pPr>
      <w:r w:rsidRPr="00936619">
        <w:rPr>
          <w:rFonts w:ascii="Calibri" w:hAnsi="Calibri" w:cs="Calibri"/>
          <w:color w:val="000000"/>
          <w:sz w:val="22"/>
          <w:szCs w:val="22"/>
        </w:rPr>
        <w:t xml:space="preserve">Responses may be used to assist the Department in </w:t>
      </w:r>
      <w:r w:rsidR="009939FA">
        <w:rPr>
          <w:rFonts w:ascii="Calibri" w:hAnsi="Calibri" w:cs="Calibri"/>
          <w:color w:val="000000"/>
          <w:sz w:val="22"/>
          <w:szCs w:val="22"/>
        </w:rPr>
        <w:t>developing</w:t>
      </w:r>
      <w:r w:rsidRPr="00936619">
        <w:rPr>
          <w:rFonts w:ascii="Calibri" w:hAnsi="Calibri" w:cs="Calibri"/>
          <w:color w:val="000000"/>
          <w:sz w:val="22"/>
          <w:szCs w:val="22"/>
        </w:rPr>
        <w:t xml:space="preserve"> of </w:t>
      </w:r>
      <w:r w:rsidR="009A36EC">
        <w:rPr>
          <w:rFonts w:ascii="Calibri" w:hAnsi="Calibri" w:cs="Calibri"/>
          <w:color w:val="000000"/>
          <w:sz w:val="22"/>
          <w:szCs w:val="22"/>
        </w:rPr>
        <w:t>a</w:t>
      </w:r>
      <w:r w:rsidRPr="00936619">
        <w:rPr>
          <w:rFonts w:ascii="Calibri" w:hAnsi="Calibri" w:cs="Calibri"/>
          <w:color w:val="000000"/>
          <w:sz w:val="22"/>
          <w:szCs w:val="22"/>
        </w:rPr>
        <w:t xml:space="preserve"> future bid document.</w:t>
      </w:r>
    </w:p>
    <w:p w14:paraId="5F00FAA0" w14:textId="77777777" w:rsidR="001D0BDC" w:rsidRPr="00936619" w:rsidRDefault="001D0BDC" w:rsidP="001D0BDC">
      <w:pPr>
        <w:jc w:val="both"/>
        <w:rPr>
          <w:rFonts w:cs="Calibri"/>
          <w:b/>
          <w:u w:val="single"/>
        </w:rPr>
      </w:pPr>
      <w:r w:rsidRPr="00936619">
        <w:rPr>
          <w:rFonts w:cs="Calibri"/>
          <w:b/>
          <w:u w:val="single"/>
        </w:rPr>
        <w:t>RFI Response</w:t>
      </w:r>
    </w:p>
    <w:p w14:paraId="439BC73B" w14:textId="01BB5F84" w:rsidR="001D0BDC" w:rsidRPr="00936619" w:rsidRDefault="001D0BDC" w:rsidP="001D0BDC">
      <w:pPr>
        <w:jc w:val="both"/>
        <w:rPr>
          <w:rFonts w:cs="Calibri"/>
        </w:rPr>
      </w:pPr>
      <w:r w:rsidRPr="00936619">
        <w:rPr>
          <w:rFonts w:cs="Calibri"/>
        </w:rPr>
        <w:t xml:space="preserve">Please respond to this RFI by </w:t>
      </w:r>
      <w:r w:rsidR="00197900">
        <w:rPr>
          <w:rFonts w:cs="Calibri"/>
        </w:rPr>
        <w:t>06/02</w:t>
      </w:r>
      <w:r w:rsidR="005B29BD">
        <w:rPr>
          <w:rFonts w:cs="Calibri"/>
        </w:rPr>
        <w:t xml:space="preserve">/2023 </w:t>
      </w:r>
      <w:r w:rsidR="00197900">
        <w:rPr>
          <w:rFonts w:cs="Calibri"/>
        </w:rPr>
        <w:t>at 2 PM EST</w:t>
      </w:r>
      <w:r w:rsidRPr="00936619">
        <w:rPr>
          <w:rFonts w:cs="Calibri"/>
        </w:rPr>
        <w:t xml:space="preserve">. Be sure to provide the name, location, contact person, phone number and e-mail address for your company. </w:t>
      </w:r>
    </w:p>
    <w:p w14:paraId="4A370CFB" w14:textId="77777777" w:rsidR="001D0BDC" w:rsidRPr="00936619" w:rsidRDefault="001D0BDC" w:rsidP="001D0BDC">
      <w:pPr>
        <w:jc w:val="both"/>
        <w:rPr>
          <w:rFonts w:cs="Calibri"/>
        </w:rPr>
      </w:pPr>
      <w:r w:rsidRPr="00936619">
        <w:rPr>
          <w:rFonts w:cs="Calibri"/>
        </w:rPr>
        <w:t xml:space="preserve">Your response to this RFI should be submitted via e-mail (preferred), fax or mail: </w:t>
      </w:r>
    </w:p>
    <w:p w14:paraId="3CF9DE43" w14:textId="77777777" w:rsidR="001D0BDC" w:rsidRPr="00936619" w:rsidRDefault="001D0BDC" w:rsidP="001D0BDC">
      <w:pPr>
        <w:jc w:val="both"/>
        <w:rPr>
          <w:rFonts w:cs="Calibri"/>
        </w:rPr>
      </w:pPr>
      <w:r w:rsidRPr="00936619">
        <w:rPr>
          <w:rFonts w:cs="Calibri"/>
        </w:rPr>
        <w:t>E-mail:</w:t>
      </w:r>
      <w:r w:rsidRPr="00936619">
        <w:rPr>
          <w:rFonts w:cs="Calibri"/>
        </w:rPr>
        <w:tab/>
      </w:r>
      <w:r w:rsidRPr="00936619">
        <w:rPr>
          <w:rFonts w:cs="Calibri"/>
        </w:rPr>
        <w:tab/>
      </w:r>
      <w:r w:rsidRPr="00936619">
        <w:rPr>
          <w:rFonts w:cs="Calibri"/>
        </w:rPr>
        <w:tab/>
        <w:t>bfs.contracts@tax.ny.gov</w:t>
      </w:r>
    </w:p>
    <w:p w14:paraId="58D08B74" w14:textId="77777777" w:rsidR="001D0BDC" w:rsidRPr="00936619" w:rsidRDefault="001D0BDC" w:rsidP="001D0BDC">
      <w:pPr>
        <w:jc w:val="both"/>
        <w:rPr>
          <w:rFonts w:cs="Calibri"/>
        </w:rPr>
      </w:pPr>
      <w:r w:rsidRPr="00936619">
        <w:rPr>
          <w:rFonts w:cs="Calibri"/>
        </w:rPr>
        <w:t>Fax:</w:t>
      </w:r>
      <w:r w:rsidRPr="00936619">
        <w:rPr>
          <w:rFonts w:cs="Calibri"/>
        </w:rPr>
        <w:tab/>
      </w:r>
      <w:r w:rsidRPr="00936619">
        <w:rPr>
          <w:rFonts w:cs="Calibri"/>
        </w:rPr>
        <w:tab/>
      </w:r>
      <w:r w:rsidRPr="00936619">
        <w:rPr>
          <w:rFonts w:cs="Calibri"/>
        </w:rPr>
        <w:tab/>
        <w:t>(518) 435-8413</w:t>
      </w:r>
    </w:p>
    <w:p w14:paraId="5382B62F" w14:textId="77777777" w:rsidR="001D0BDC" w:rsidRPr="00936619" w:rsidRDefault="001D0BDC" w:rsidP="001D0BDC">
      <w:pPr>
        <w:jc w:val="both"/>
        <w:rPr>
          <w:rFonts w:cs="Calibri"/>
        </w:rPr>
      </w:pPr>
      <w:r w:rsidRPr="00936619">
        <w:rPr>
          <w:rFonts w:cs="Calibri"/>
        </w:rPr>
        <w:t>Written Correspondence:</w:t>
      </w:r>
    </w:p>
    <w:p w14:paraId="58940922" w14:textId="77777777" w:rsidR="001D0BDC" w:rsidRDefault="001D0BDC" w:rsidP="001D0BDC">
      <w:pPr>
        <w:spacing w:after="0"/>
        <w:ind w:left="2160"/>
        <w:jc w:val="both"/>
        <w:rPr>
          <w:rFonts w:cs="Calibri"/>
        </w:rPr>
      </w:pPr>
      <w:r w:rsidRPr="00936619">
        <w:rPr>
          <w:rFonts w:cs="Calibri"/>
        </w:rPr>
        <w:t xml:space="preserve">New York State Department of Taxation and Finance             </w:t>
      </w:r>
    </w:p>
    <w:p w14:paraId="422F31F2" w14:textId="558FDA90" w:rsidR="001D0BDC" w:rsidRDefault="001D0BDC" w:rsidP="001D0BDC">
      <w:pPr>
        <w:spacing w:after="0"/>
        <w:ind w:left="2160"/>
        <w:rPr>
          <w:rFonts w:cs="Calibri"/>
        </w:rPr>
      </w:pPr>
      <w:r w:rsidRPr="00936619">
        <w:rPr>
          <w:rFonts w:cs="Calibri"/>
        </w:rPr>
        <w:t xml:space="preserve">Attn:  </w:t>
      </w:r>
      <w:r w:rsidR="009939FA">
        <w:rPr>
          <w:rFonts w:cs="Calibri"/>
        </w:rPr>
        <w:t xml:space="preserve">John Blanch, </w:t>
      </w:r>
      <w:r w:rsidR="0010510A">
        <w:rPr>
          <w:rFonts w:cs="Calibri"/>
        </w:rPr>
        <w:t>Purchasing Manager</w:t>
      </w:r>
      <w:r>
        <w:rPr>
          <w:rFonts w:cs="Calibri"/>
        </w:rPr>
        <w:tab/>
      </w:r>
      <w:r>
        <w:rPr>
          <w:rFonts w:cs="Calibri"/>
        </w:rPr>
        <w:tab/>
      </w:r>
      <w:r>
        <w:rPr>
          <w:rFonts w:cs="Calibri"/>
        </w:rPr>
        <w:tab/>
      </w:r>
      <w:r>
        <w:rPr>
          <w:rFonts w:cs="Calibri"/>
        </w:rPr>
        <w:tab/>
      </w:r>
      <w:r>
        <w:rPr>
          <w:rFonts w:cs="Calibri"/>
        </w:rPr>
        <w:tab/>
      </w:r>
    </w:p>
    <w:p w14:paraId="279BED87" w14:textId="77777777" w:rsidR="001D0BDC" w:rsidRDefault="001D0BDC" w:rsidP="001D0BDC">
      <w:pPr>
        <w:spacing w:after="0"/>
        <w:ind w:left="2160"/>
        <w:rPr>
          <w:rFonts w:cs="Calibri"/>
        </w:rPr>
      </w:pPr>
      <w:r w:rsidRPr="00936619">
        <w:rPr>
          <w:rFonts w:cs="Calibri"/>
        </w:rPr>
        <w:t>Procurement Services Unit</w:t>
      </w:r>
      <w:r w:rsidRPr="00936619">
        <w:rPr>
          <w:rFonts w:cs="Calibri"/>
        </w:rPr>
        <w:tab/>
      </w:r>
      <w:r w:rsidRPr="00936619">
        <w:rPr>
          <w:rFonts w:cs="Calibri"/>
        </w:rPr>
        <w:tab/>
      </w:r>
      <w:r w:rsidRPr="00936619">
        <w:rPr>
          <w:rFonts w:cs="Calibri"/>
        </w:rPr>
        <w:tab/>
      </w:r>
      <w:r w:rsidRPr="00936619">
        <w:rPr>
          <w:rFonts w:cs="Calibri"/>
        </w:rPr>
        <w:tab/>
      </w:r>
      <w:r w:rsidRPr="00936619">
        <w:rPr>
          <w:rFonts w:cs="Calibri"/>
        </w:rPr>
        <w:tab/>
      </w:r>
      <w:r w:rsidRPr="00936619">
        <w:rPr>
          <w:rFonts w:cs="Calibri"/>
        </w:rPr>
        <w:tab/>
      </w:r>
    </w:p>
    <w:p w14:paraId="23F41B01" w14:textId="77777777" w:rsidR="001D0BDC" w:rsidRDefault="001D0BDC" w:rsidP="001D0BDC">
      <w:pPr>
        <w:spacing w:after="0"/>
        <w:ind w:left="2160"/>
        <w:rPr>
          <w:rFonts w:cs="Calibri"/>
        </w:rPr>
      </w:pPr>
      <w:r w:rsidRPr="00936619">
        <w:rPr>
          <w:rFonts w:cs="Calibri"/>
        </w:rPr>
        <w:t>WA Harriman State Campus</w:t>
      </w:r>
      <w:r w:rsidRPr="00936619">
        <w:rPr>
          <w:rFonts w:cs="Calibri"/>
        </w:rPr>
        <w:tab/>
      </w:r>
      <w:r w:rsidRPr="00936619">
        <w:rPr>
          <w:rFonts w:cs="Calibri"/>
        </w:rPr>
        <w:tab/>
      </w:r>
      <w:r w:rsidRPr="00936619">
        <w:rPr>
          <w:rFonts w:cs="Calibri"/>
        </w:rPr>
        <w:tab/>
      </w:r>
      <w:r w:rsidRPr="00936619">
        <w:rPr>
          <w:rFonts w:cs="Calibri"/>
        </w:rPr>
        <w:tab/>
      </w:r>
      <w:r w:rsidRPr="00936619">
        <w:rPr>
          <w:rFonts w:cs="Calibri"/>
        </w:rPr>
        <w:tab/>
      </w:r>
      <w:r w:rsidRPr="00936619">
        <w:rPr>
          <w:rFonts w:cs="Calibri"/>
        </w:rPr>
        <w:tab/>
      </w:r>
      <w:r w:rsidRPr="00936619">
        <w:rPr>
          <w:rFonts w:cs="Calibri"/>
        </w:rPr>
        <w:tab/>
      </w:r>
    </w:p>
    <w:p w14:paraId="66BCA95D" w14:textId="77777777" w:rsidR="001D0BDC" w:rsidRDefault="001D0BDC" w:rsidP="001D0BDC">
      <w:pPr>
        <w:spacing w:after="0"/>
        <w:ind w:left="2160"/>
        <w:rPr>
          <w:rFonts w:cs="Calibri"/>
        </w:rPr>
      </w:pPr>
      <w:r w:rsidRPr="00936619">
        <w:rPr>
          <w:rFonts w:cs="Calibri"/>
        </w:rPr>
        <w:t>Albany, NY 12227</w:t>
      </w:r>
    </w:p>
    <w:p w14:paraId="6EBA30DF" w14:textId="77777777" w:rsidR="001D0BDC" w:rsidRPr="00936619" w:rsidRDefault="001D0BDC" w:rsidP="001D0BDC">
      <w:pPr>
        <w:spacing w:after="0"/>
        <w:ind w:left="2160"/>
        <w:rPr>
          <w:rFonts w:cs="Calibri"/>
        </w:rPr>
      </w:pPr>
    </w:p>
    <w:p w14:paraId="77F1BDEA" w14:textId="6039C2B4" w:rsidR="003866BE" w:rsidRPr="00936619" w:rsidRDefault="001D0BDC" w:rsidP="0059286A">
      <w:pPr>
        <w:jc w:val="both"/>
        <w:rPr>
          <w:rFonts w:cs="Calibri"/>
        </w:rPr>
      </w:pPr>
      <w:r w:rsidRPr="00936619">
        <w:rPr>
          <w:rFonts w:cs="Calibri"/>
        </w:rPr>
        <w:t xml:space="preserve">A response does not bind or obligate the responder or the Department to any agreement of provision or procurement of any products referenced. </w:t>
      </w:r>
    </w:p>
    <w:p w14:paraId="4BF209E2" w14:textId="493FAACA" w:rsidR="00445608" w:rsidRDefault="00445608" w:rsidP="00B52E56">
      <w:pPr>
        <w:rPr>
          <w:rFonts w:cs="Calibri"/>
        </w:rPr>
      </w:pPr>
    </w:p>
    <w:sectPr w:rsidR="00445608" w:rsidSect="007A10BD">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E753" w14:textId="77777777" w:rsidR="006A0525" w:rsidRDefault="006A0525">
      <w:pPr>
        <w:spacing w:after="0" w:line="240" w:lineRule="auto"/>
      </w:pPr>
      <w:r>
        <w:separator/>
      </w:r>
    </w:p>
  </w:endnote>
  <w:endnote w:type="continuationSeparator" w:id="0">
    <w:p w14:paraId="74F60539" w14:textId="77777777" w:rsidR="006A0525" w:rsidRDefault="006A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FB85" w14:textId="77777777" w:rsidR="00322EB0" w:rsidRDefault="00322EB0">
    <w:pPr>
      <w:pStyle w:val="Footer"/>
      <w:jc w:val="center"/>
    </w:pPr>
    <w:r>
      <w:fldChar w:fldCharType="begin"/>
    </w:r>
    <w:r>
      <w:instrText xml:space="preserve"> PAGE   \* MERGEFORMAT </w:instrText>
    </w:r>
    <w:r>
      <w:fldChar w:fldCharType="separate"/>
    </w:r>
    <w:r>
      <w:rPr>
        <w:noProof/>
      </w:rPr>
      <w:t>1</w:t>
    </w:r>
    <w:r>
      <w:fldChar w:fldCharType="end"/>
    </w:r>
  </w:p>
  <w:p w14:paraId="6F61EB64" w14:textId="77777777" w:rsidR="00322EB0" w:rsidRDefault="00322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7AD14" w14:textId="77777777" w:rsidR="006A0525" w:rsidRDefault="006A0525">
      <w:pPr>
        <w:spacing w:after="0" w:line="240" w:lineRule="auto"/>
      </w:pPr>
      <w:r>
        <w:separator/>
      </w:r>
    </w:p>
  </w:footnote>
  <w:footnote w:type="continuationSeparator" w:id="0">
    <w:p w14:paraId="547638CB" w14:textId="77777777" w:rsidR="006A0525" w:rsidRDefault="006A0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ECA"/>
    <w:multiLevelType w:val="multilevel"/>
    <w:tmpl w:val="05CA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22DE3"/>
    <w:multiLevelType w:val="hybridMultilevel"/>
    <w:tmpl w:val="56FEB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B4A"/>
    <w:multiLevelType w:val="hybridMultilevel"/>
    <w:tmpl w:val="772A0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19033B"/>
    <w:multiLevelType w:val="hybridMultilevel"/>
    <w:tmpl w:val="3176E3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E03498"/>
    <w:multiLevelType w:val="hybridMultilevel"/>
    <w:tmpl w:val="D8689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474592"/>
    <w:multiLevelType w:val="hybridMultilevel"/>
    <w:tmpl w:val="3FD2BE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CE666B"/>
    <w:multiLevelType w:val="hybridMultilevel"/>
    <w:tmpl w:val="1F429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BE600B"/>
    <w:multiLevelType w:val="hybridMultilevel"/>
    <w:tmpl w:val="F170DF3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763519CA"/>
    <w:multiLevelType w:val="hybridMultilevel"/>
    <w:tmpl w:val="09DA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0131A2"/>
    <w:multiLevelType w:val="hybridMultilevel"/>
    <w:tmpl w:val="8D08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1"/>
  </w:num>
  <w:num w:numId="5">
    <w:abstractNumId w:val="2"/>
  </w:num>
  <w:num w:numId="6">
    <w:abstractNumId w:val="2"/>
  </w:num>
  <w:num w:numId="7">
    <w:abstractNumId w:val="7"/>
  </w:num>
  <w:num w:numId="8">
    <w:abstractNumId w:val="0"/>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DC"/>
    <w:rsid w:val="00020F5B"/>
    <w:rsid w:val="00043995"/>
    <w:rsid w:val="0005023C"/>
    <w:rsid w:val="000532F2"/>
    <w:rsid w:val="000D7797"/>
    <w:rsid w:val="000E5235"/>
    <w:rsid w:val="0010510A"/>
    <w:rsid w:val="00117113"/>
    <w:rsid w:val="00197900"/>
    <w:rsid w:val="001D0BDC"/>
    <w:rsid w:val="002701AA"/>
    <w:rsid w:val="002D32F1"/>
    <w:rsid w:val="00314C71"/>
    <w:rsid w:val="003223FA"/>
    <w:rsid w:val="00322EB0"/>
    <w:rsid w:val="0035476D"/>
    <w:rsid w:val="003866BE"/>
    <w:rsid w:val="00391DF1"/>
    <w:rsid w:val="003956C2"/>
    <w:rsid w:val="003F2746"/>
    <w:rsid w:val="004007B5"/>
    <w:rsid w:val="00430DC5"/>
    <w:rsid w:val="00445608"/>
    <w:rsid w:val="00454441"/>
    <w:rsid w:val="004A1CA7"/>
    <w:rsid w:val="004B5076"/>
    <w:rsid w:val="00567CE9"/>
    <w:rsid w:val="0059286A"/>
    <w:rsid w:val="005A51DD"/>
    <w:rsid w:val="005B29BD"/>
    <w:rsid w:val="005E2E64"/>
    <w:rsid w:val="005E52AB"/>
    <w:rsid w:val="00665132"/>
    <w:rsid w:val="006A0525"/>
    <w:rsid w:val="006A3A36"/>
    <w:rsid w:val="006C54F5"/>
    <w:rsid w:val="006F1EFE"/>
    <w:rsid w:val="006F3D95"/>
    <w:rsid w:val="007029E9"/>
    <w:rsid w:val="007520A0"/>
    <w:rsid w:val="00762361"/>
    <w:rsid w:val="00781036"/>
    <w:rsid w:val="007859C0"/>
    <w:rsid w:val="007A10BD"/>
    <w:rsid w:val="007C3271"/>
    <w:rsid w:val="008049BE"/>
    <w:rsid w:val="0082432C"/>
    <w:rsid w:val="00832789"/>
    <w:rsid w:val="008459B9"/>
    <w:rsid w:val="00895A44"/>
    <w:rsid w:val="00897143"/>
    <w:rsid w:val="008D69B7"/>
    <w:rsid w:val="008F1E77"/>
    <w:rsid w:val="00902A68"/>
    <w:rsid w:val="009341DF"/>
    <w:rsid w:val="00951B37"/>
    <w:rsid w:val="009939FA"/>
    <w:rsid w:val="009A36EC"/>
    <w:rsid w:val="009C0BAE"/>
    <w:rsid w:val="009C277A"/>
    <w:rsid w:val="009C5EE1"/>
    <w:rsid w:val="009F344C"/>
    <w:rsid w:val="00A13C85"/>
    <w:rsid w:val="00A30F4D"/>
    <w:rsid w:val="00A52691"/>
    <w:rsid w:val="00A82AD5"/>
    <w:rsid w:val="00AD5FC5"/>
    <w:rsid w:val="00B22740"/>
    <w:rsid w:val="00B307AA"/>
    <w:rsid w:val="00B52E56"/>
    <w:rsid w:val="00B66410"/>
    <w:rsid w:val="00BF2315"/>
    <w:rsid w:val="00C11699"/>
    <w:rsid w:val="00C65381"/>
    <w:rsid w:val="00CE0D12"/>
    <w:rsid w:val="00D077C0"/>
    <w:rsid w:val="00D31291"/>
    <w:rsid w:val="00D74CA8"/>
    <w:rsid w:val="00D907B9"/>
    <w:rsid w:val="00D9591F"/>
    <w:rsid w:val="00D977EC"/>
    <w:rsid w:val="00E27248"/>
    <w:rsid w:val="00E343F2"/>
    <w:rsid w:val="00E53C11"/>
    <w:rsid w:val="00E81E2B"/>
    <w:rsid w:val="00EA5B26"/>
    <w:rsid w:val="00ED3DDF"/>
    <w:rsid w:val="00EE2438"/>
    <w:rsid w:val="00EF5303"/>
    <w:rsid w:val="00F16492"/>
    <w:rsid w:val="00F509B8"/>
    <w:rsid w:val="00F6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28351"/>
  <w15:docId w15:val="{2810FFD3-3244-40F6-AE2F-26004085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B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0BDC"/>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1D0BDC"/>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1D0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BDC"/>
    <w:rPr>
      <w:rFonts w:ascii="Calibri" w:eastAsia="Calibri" w:hAnsi="Calibri" w:cs="Times New Roman"/>
    </w:rPr>
  </w:style>
  <w:style w:type="table" w:styleId="TableGrid">
    <w:name w:val="Table Grid"/>
    <w:basedOn w:val="TableNormal"/>
    <w:uiPriority w:val="59"/>
    <w:unhideWhenUsed/>
    <w:rsid w:val="00845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9B9"/>
    <w:pPr>
      <w:ind w:left="720"/>
      <w:contextualSpacing/>
    </w:pPr>
  </w:style>
  <w:style w:type="paragraph" w:styleId="Header">
    <w:name w:val="header"/>
    <w:basedOn w:val="Normal"/>
    <w:link w:val="HeaderChar"/>
    <w:uiPriority w:val="99"/>
    <w:unhideWhenUsed/>
    <w:rsid w:val="00D9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91F"/>
    <w:rPr>
      <w:rFonts w:ascii="Calibri" w:eastAsia="Calibri" w:hAnsi="Calibri" w:cs="Times New Roman"/>
    </w:rPr>
  </w:style>
  <w:style w:type="paragraph" w:styleId="BalloonText">
    <w:name w:val="Balloon Text"/>
    <w:basedOn w:val="Normal"/>
    <w:link w:val="BalloonTextChar"/>
    <w:uiPriority w:val="99"/>
    <w:semiHidden/>
    <w:unhideWhenUsed/>
    <w:rsid w:val="00A52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691"/>
    <w:rPr>
      <w:rFonts w:ascii="Segoe UI" w:eastAsia="Calibri" w:hAnsi="Segoe UI" w:cs="Segoe UI"/>
      <w:sz w:val="18"/>
      <w:szCs w:val="18"/>
    </w:rPr>
  </w:style>
  <w:style w:type="character" w:styleId="Hyperlink">
    <w:name w:val="Hyperlink"/>
    <w:basedOn w:val="DefaultParagraphFont"/>
    <w:uiPriority w:val="99"/>
    <w:semiHidden/>
    <w:unhideWhenUsed/>
    <w:rsid w:val="00445608"/>
    <w:rPr>
      <w:color w:val="0563C1"/>
      <w:u w:val="single"/>
    </w:rPr>
  </w:style>
  <w:style w:type="character" w:styleId="FollowedHyperlink">
    <w:name w:val="FollowedHyperlink"/>
    <w:basedOn w:val="DefaultParagraphFont"/>
    <w:uiPriority w:val="99"/>
    <w:semiHidden/>
    <w:unhideWhenUsed/>
    <w:rsid w:val="00445608"/>
    <w:rPr>
      <w:color w:val="954F72"/>
      <w:u w:val="single"/>
    </w:rPr>
  </w:style>
  <w:style w:type="paragraph" w:customStyle="1" w:styleId="msonormal0">
    <w:name w:val="msonormal"/>
    <w:basedOn w:val="Normal"/>
    <w:rsid w:val="00445608"/>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Normal"/>
    <w:rsid w:val="00445608"/>
    <w:pPr>
      <w:spacing w:before="100" w:beforeAutospacing="1" w:after="100" w:afterAutospacing="1" w:line="240" w:lineRule="auto"/>
    </w:pPr>
    <w:rPr>
      <w:rFonts w:eastAsia="Times New Roman" w:cs="Calibri"/>
      <w:b/>
      <w:bCs/>
      <w:color w:val="FF0000"/>
    </w:rPr>
  </w:style>
  <w:style w:type="paragraph" w:customStyle="1" w:styleId="xl63">
    <w:name w:val="xl63"/>
    <w:basedOn w:val="Normal"/>
    <w:rsid w:val="0044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44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rPr>
  </w:style>
  <w:style w:type="paragraph" w:customStyle="1" w:styleId="xl65">
    <w:name w:val="xl65"/>
    <w:basedOn w:val="Normal"/>
    <w:rsid w:val="0044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44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rPr>
  </w:style>
  <w:style w:type="paragraph" w:customStyle="1" w:styleId="xl67">
    <w:name w:val="xl67"/>
    <w:basedOn w:val="Normal"/>
    <w:rsid w:val="00445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31291"/>
    <w:rPr>
      <w:sz w:val="16"/>
      <w:szCs w:val="16"/>
    </w:rPr>
  </w:style>
  <w:style w:type="paragraph" w:styleId="CommentText">
    <w:name w:val="annotation text"/>
    <w:basedOn w:val="Normal"/>
    <w:link w:val="CommentTextChar"/>
    <w:uiPriority w:val="99"/>
    <w:semiHidden/>
    <w:unhideWhenUsed/>
    <w:rsid w:val="00D31291"/>
    <w:pPr>
      <w:spacing w:line="240" w:lineRule="auto"/>
    </w:pPr>
    <w:rPr>
      <w:sz w:val="20"/>
      <w:szCs w:val="20"/>
    </w:rPr>
  </w:style>
  <w:style w:type="character" w:customStyle="1" w:styleId="CommentTextChar">
    <w:name w:val="Comment Text Char"/>
    <w:basedOn w:val="DefaultParagraphFont"/>
    <w:link w:val="CommentText"/>
    <w:uiPriority w:val="99"/>
    <w:semiHidden/>
    <w:rsid w:val="00D3129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31291"/>
    <w:rPr>
      <w:b/>
      <w:bCs/>
    </w:rPr>
  </w:style>
  <w:style w:type="character" w:customStyle="1" w:styleId="CommentSubjectChar">
    <w:name w:val="Comment Subject Char"/>
    <w:basedOn w:val="CommentTextChar"/>
    <w:link w:val="CommentSubject"/>
    <w:uiPriority w:val="99"/>
    <w:semiHidden/>
    <w:rsid w:val="00D3129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79135">
      <w:bodyDiv w:val="1"/>
      <w:marLeft w:val="0"/>
      <w:marRight w:val="0"/>
      <w:marTop w:val="0"/>
      <w:marBottom w:val="0"/>
      <w:divBdr>
        <w:top w:val="none" w:sz="0" w:space="0" w:color="auto"/>
        <w:left w:val="none" w:sz="0" w:space="0" w:color="auto"/>
        <w:bottom w:val="none" w:sz="0" w:space="0" w:color="auto"/>
        <w:right w:val="none" w:sz="0" w:space="0" w:color="auto"/>
      </w:divBdr>
    </w:div>
    <w:div w:id="1396050053">
      <w:bodyDiv w:val="1"/>
      <w:marLeft w:val="0"/>
      <w:marRight w:val="0"/>
      <w:marTop w:val="0"/>
      <w:marBottom w:val="0"/>
      <w:divBdr>
        <w:top w:val="none" w:sz="0" w:space="0" w:color="auto"/>
        <w:left w:val="none" w:sz="0" w:space="0" w:color="auto"/>
        <w:bottom w:val="none" w:sz="0" w:space="0" w:color="auto"/>
        <w:right w:val="none" w:sz="0" w:space="0" w:color="auto"/>
      </w:divBdr>
    </w:div>
    <w:div w:id="1732995049">
      <w:bodyDiv w:val="1"/>
      <w:marLeft w:val="0"/>
      <w:marRight w:val="0"/>
      <w:marTop w:val="0"/>
      <w:marBottom w:val="0"/>
      <w:divBdr>
        <w:top w:val="none" w:sz="0" w:space="0" w:color="auto"/>
        <w:left w:val="none" w:sz="0" w:space="0" w:color="auto"/>
        <w:bottom w:val="none" w:sz="0" w:space="0" w:color="auto"/>
        <w:right w:val="none" w:sz="0" w:space="0" w:color="auto"/>
      </w:divBdr>
    </w:div>
    <w:div w:id="1754935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1641-84D7-4352-ACA8-87AA2ADB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 John (TAX)</dc:creator>
  <cp:keywords/>
  <dc:description/>
  <cp:lastModifiedBy>Lansburg, Gabrielle (TAX)</cp:lastModifiedBy>
  <cp:revision>2</cp:revision>
  <cp:lastPrinted>2023-05-16T20:20:00Z</cp:lastPrinted>
  <dcterms:created xsi:type="dcterms:W3CDTF">2023-05-26T14:34:00Z</dcterms:created>
  <dcterms:modified xsi:type="dcterms:W3CDTF">2023-05-26T14:34:00Z</dcterms:modified>
</cp:coreProperties>
</file>