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3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6"/>
        <w:gridCol w:w="2963"/>
        <w:gridCol w:w="3762"/>
      </w:tblGrid>
      <w:tr w:rsidR="008B0D31" w:rsidRPr="00643312" w14:paraId="313DF557" w14:textId="77777777" w:rsidTr="00A173D6">
        <w:trPr>
          <w:trHeight w:val="1017"/>
          <w:jc w:val="center"/>
        </w:trPr>
        <w:tc>
          <w:tcPr>
            <w:tcW w:w="11131" w:type="dxa"/>
            <w:gridSpan w:val="3"/>
          </w:tcPr>
          <w:p w14:paraId="2335EB30" w14:textId="77777777" w:rsidR="008B0D31" w:rsidRPr="00643312" w:rsidRDefault="008B0D31" w:rsidP="00E76021">
            <w:pPr>
              <w:ind w:left="733"/>
              <w:rPr>
                <w:rFonts w:cs="Arial"/>
                <w:i/>
              </w:rPr>
            </w:pPr>
            <w:bookmarkStart w:id="0" w:name="_Hlk89341694"/>
            <w:r w:rsidRPr="00643312">
              <w:rPr>
                <w:rFonts w:cs="Arial"/>
                <w:i/>
                <w:noProof/>
              </w:rPr>
              <w:drawing>
                <wp:inline distT="0" distB="0" distL="0" distR="0" wp14:anchorId="48E9C3AC" wp14:editId="4B047AFF">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668C58F7" w14:textId="77777777" w:rsidR="008B0D31" w:rsidRPr="00643312" w:rsidRDefault="008B0D31" w:rsidP="00E76021">
            <w:pPr>
              <w:ind w:left="45"/>
              <w:rPr>
                <w:rFonts w:cs="Arial"/>
                <w:i/>
              </w:rPr>
            </w:pPr>
          </w:p>
        </w:tc>
      </w:tr>
      <w:tr w:rsidR="008B0D31" w:rsidRPr="00643312" w14:paraId="642791AB" w14:textId="77777777" w:rsidTr="00A173D6">
        <w:trPr>
          <w:trHeight w:val="551"/>
          <w:jc w:val="center"/>
        </w:trPr>
        <w:tc>
          <w:tcPr>
            <w:tcW w:w="4406" w:type="dxa"/>
            <w:vAlign w:val="center"/>
          </w:tcPr>
          <w:p w14:paraId="30F9DCE1" w14:textId="77777777" w:rsidR="008B0D31" w:rsidRPr="00643312" w:rsidRDefault="008B0D31" w:rsidP="00E76021">
            <w:pPr>
              <w:spacing w:before="160"/>
              <w:ind w:left="733"/>
              <w:rPr>
                <w:rFonts w:cs="Arial"/>
                <w:b/>
                <w:caps/>
                <w:noProof/>
                <w:sz w:val="20"/>
              </w:rPr>
            </w:pPr>
            <w:r w:rsidRPr="00643312">
              <w:rPr>
                <w:rFonts w:cs="Arial"/>
                <w:b/>
                <w:color w:val="007681"/>
              </w:rPr>
              <w:t>BUREAU OF FISCAL SERVICES</w:t>
            </w:r>
            <w:r w:rsidRPr="00643312">
              <w:rPr>
                <w:rFonts w:cs="Arial"/>
                <w:b/>
                <w:caps/>
                <w:noProof/>
                <w:sz w:val="20"/>
              </w:rPr>
              <w:t xml:space="preserve"> </w:t>
            </w:r>
          </w:p>
          <w:p w14:paraId="7C9B6825" w14:textId="77777777" w:rsidR="008B0D31" w:rsidRPr="00643312" w:rsidRDefault="008B0D31" w:rsidP="00E76021">
            <w:pPr>
              <w:spacing w:before="60"/>
              <w:ind w:left="734"/>
              <w:rPr>
                <w:rFonts w:cs="Arial"/>
                <w:b/>
                <w:caps/>
                <w:noProof/>
                <w:sz w:val="20"/>
              </w:rPr>
            </w:pPr>
            <w:r w:rsidRPr="00643312">
              <w:rPr>
                <w:rFonts w:cs="Arial"/>
                <w:b/>
                <w:caps/>
                <w:noProof/>
                <w:sz w:val="20"/>
              </w:rPr>
              <w:t>Procurement Unit</w:t>
            </w:r>
          </w:p>
          <w:p w14:paraId="70F74D6C" w14:textId="77777777" w:rsidR="008B0D31" w:rsidRPr="00643312" w:rsidRDefault="008B0D31" w:rsidP="00E76021">
            <w:pPr>
              <w:spacing w:before="60"/>
              <w:ind w:left="734"/>
              <w:rPr>
                <w:rFonts w:cs="Arial"/>
                <w:b/>
                <w:caps/>
                <w:noProof/>
                <w:sz w:val="20"/>
              </w:rPr>
            </w:pPr>
          </w:p>
          <w:p w14:paraId="5A621D59" w14:textId="77777777" w:rsidR="008B0D31" w:rsidRPr="00643312" w:rsidRDefault="008B0D31" w:rsidP="00E76021">
            <w:pPr>
              <w:spacing w:before="60"/>
              <w:ind w:left="734"/>
              <w:rPr>
                <w:rFonts w:cs="Arial"/>
                <w:b/>
                <w:caps/>
                <w:noProof/>
                <w:sz w:val="20"/>
              </w:rPr>
            </w:pPr>
          </w:p>
        </w:tc>
        <w:tc>
          <w:tcPr>
            <w:tcW w:w="2963" w:type="dxa"/>
            <w:vAlign w:val="center"/>
          </w:tcPr>
          <w:p w14:paraId="010CB594" w14:textId="77777777" w:rsidR="008B0D31" w:rsidRPr="00643312" w:rsidRDefault="008B0D31" w:rsidP="00E76021">
            <w:pPr>
              <w:ind w:left="250"/>
              <w:rPr>
                <w:rFonts w:cs="Arial"/>
                <w:noProof/>
              </w:rPr>
            </w:pPr>
          </w:p>
        </w:tc>
        <w:tc>
          <w:tcPr>
            <w:tcW w:w="3762" w:type="dxa"/>
            <w:vAlign w:val="center"/>
          </w:tcPr>
          <w:p w14:paraId="5F9EA4DD" w14:textId="77777777" w:rsidR="008B0D31" w:rsidRPr="00643312" w:rsidRDefault="008B0D31" w:rsidP="00E76021">
            <w:pPr>
              <w:ind w:left="593"/>
              <w:rPr>
                <w:rFonts w:cs="Arial"/>
                <w:caps/>
                <w:noProof/>
                <w:sz w:val="20"/>
              </w:rPr>
            </w:pPr>
          </w:p>
        </w:tc>
      </w:tr>
    </w:tbl>
    <w:p w14:paraId="5D0C3B30" w14:textId="526F2F82" w:rsidR="00200061" w:rsidRPr="00643312" w:rsidRDefault="00BC3BF6" w:rsidP="008B0D31">
      <w:pPr>
        <w:jc w:val="center"/>
        <w:rPr>
          <w:rFonts w:cs="Arial"/>
          <w:b/>
        </w:rPr>
      </w:pPr>
      <w:r>
        <w:rPr>
          <w:rFonts w:cs="Arial"/>
          <w:b/>
        </w:rPr>
        <w:t>June</w:t>
      </w:r>
      <w:r w:rsidRPr="00643312">
        <w:rPr>
          <w:rFonts w:cs="Arial"/>
          <w:b/>
        </w:rPr>
        <w:t xml:space="preserve"> </w:t>
      </w:r>
      <w:r>
        <w:rPr>
          <w:rFonts w:cs="Arial"/>
          <w:b/>
        </w:rPr>
        <w:t>2</w:t>
      </w:r>
      <w:r w:rsidR="00923F70">
        <w:rPr>
          <w:rFonts w:cs="Arial"/>
          <w:b/>
        </w:rPr>
        <w:t>3</w:t>
      </w:r>
      <w:r w:rsidR="00F26534" w:rsidRPr="00643312">
        <w:rPr>
          <w:rFonts w:cs="Arial"/>
          <w:b/>
        </w:rPr>
        <w:t>, 202</w:t>
      </w:r>
      <w:r>
        <w:rPr>
          <w:rFonts w:cs="Arial"/>
          <w:b/>
        </w:rPr>
        <w:t>3</w:t>
      </w:r>
    </w:p>
    <w:p w14:paraId="39479A1F" w14:textId="77777777" w:rsidR="008B0D31" w:rsidRPr="00643312" w:rsidRDefault="008B0D31" w:rsidP="008B0D31">
      <w:pPr>
        <w:jc w:val="center"/>
        <w:rPr>
          <w:rFonts w:cs="Arial"/>
          <w:b/>
        </w:rPr>
      </w:pPr>
    </w:p>
    <w:p w14:paraId="0AF07081" w14:textId="03EB223A" w:rsidR="005900D7" w:rsidRDefault="00BC3BF6" w:rsidP="008B0D31">
      <w:pPr>
        <w:jc w:val="center"/>
        <w:rPr>
          <w:rFonts w:eastAsia="Calibri" w:cs="Arial"/>
          <w:b/>
          <w:bCs/>
          <w:sz w:val="26"/>
          <w:szCs w:val="26"/>
        </w:rPr>
      </w:pPr>
      <w:r>
        <w:rPr>
          <w:rFonts w:eastAsia="Calibri" w:cs="Arial"/>
          <w:b/>
          <w:bCs/>
          <w:sz w:val="26"/>
          <w:szCs w:val="26"/>
        </w:rPr>
        <w:t>Invitation for Bids</w:t>
      </w:r>
      <w:r w:rsidR="008B0D31" w:rsidRPr="00643312">
        <w:rPr>
          <w:rFonts w:eastAsia="Calibri" w:cs="Arial"/>
          <w:b/>
          <w:bCs/>
          <w:sz w:val="26"/>
          <w:szCs w:val="26"/>
        </w:rPr>
        <w:t xml:space="preserve"> (</w:t>
      </w:r>
      <w:r>
        <w:rPr>
          <w:rFonts w:eastAsia="Calibri" w:cs="Arial"/>
          <w:b/>
          <w:bCs/>
          <w:sz w:val="26"/>
          <w:szCs w:val="26"/>
        </w:rPr>
        <w:t>IFB</w:t>
      </w:r>
      <w:r w:rsidR="008B0D31" w:rsidRPr="00643312">
        <w:rPr>
          <w:rFonts w:eastAsia="Calibri" w:cs="Arial"/>
          <w:b/>
          <w:bCs/>
          <w:sz w:val="26"/>
          <w:szCs w:val="26"/>
        </w:rPr>
        <w:t xml:space="preserve">) </w:t>
      </w:r>
      <w:r w:rsidR="00CF7D0F" w:rsidRPr="00643312">
        <w:rPr>
          <w:rFonts w:eastAsia="Calibri" w:cs="Arial"/>
          <w:b/>
          <w:bCs/>
          <w:sz w:val="26"/>
          <w:szCs w:val="26"/>
        </w:rPr>
        <w:t>2</w:t>
      </w:r>
      <w:r w:rsidR="00A173D6" w:rsidRPr="00643312">
        <w:rPr>
          <w:rFonts w:eastAsia="Calibri" w:cs="Arial"/>
          <w:b/>
          <w:bCs/>
          <w:sz w:val="26"/>
          <w:szCs w:val="26"/>
        </w:rPr>
        <w:t>2</w:t>
      </w:r>
      <w:r w:rsidR="00F26534" w:rsidRPr="00643312">
        <w:rPr>
          <w:rFonts w:eastAsia="Calibri" w:cs="Arial"/>
          <w:b/>
          <w:bCs/>
          <w:sz w:val="26"/>
          <w:szCs w:val="26"/>
        </w:rPr>
        <w:t>-</w:t>
      </w:r>
      <w:r>
        <w:rPr>
          <w:rFonts w:eastAsia="Calibri" w:cs="Arial"/>
          <w:b/>
          <w:bCs/>
          <w:sz w:val="26"/>
          <w:szCs w:val="26"/>
        </w:rPr>
        <w:t>2</w:t>
      </w:r>
      <w:r w:rsidR="00A173D6" w:rsidRPr="00643312">
        <w:rPr>
          <w:rFonts w:eastAsia="Calibri" w:cs="Arial"/>
          <w:b/>
          <w:bCs/>
          <w:sz w:val="26"/>
          <w:szCs w:val="26"/>
        </w:rPr>
        <w:t>0</w:t>
      </w:r>
      <w:r>
        <w:rPr>
          <w:rFonts w:eastAsia="Calibri" w:cs="Arial"/>
          <w:b/>
          <w:bCs/>
          <w:sz w:val="26"/>
          <w:szCs w:val="26"/>
        </w:rPr>
        <w:t>1</w:t>
      </w:r>
      <w:r w:rsidR="00F26534" w:rsidRPr="00643312">
        <w:rPr>
          <w:rFonts w:eastAsia="Calibri" w:cs="Arial"/>
          <w:b/>
          <w:bCs/>
          <w:sz w:val="26"/>
          <w:szCs w:val="26"/>
        </w:rPr>
        <w:t xml:space="preserve"> </w:t>
      </w:r>
    </w:p>
    <w:p w14:paraId="6E8CC19E" w14:textId="77777777" w:rsidR="00BC3BF6" w:rsidRPr="00643312" w:rsidRDefault="00BC3BF6" w:rsidP="008B0D31">
      <w:pPr>
        <w:jc w:val="center"/>
        <w:rPr>
          <w:rFonts w:eastAsia="Calibri" w:cs="Arial"/>
          <w:b/>
          <w:bCs/>
          <w:sz w:val="26"/>
          <w:szCs w:val="26"/>
        </w:rPr>
      </w:pPr>
    </w:p>
    <w:p w14:paraId="62503D29" w14:textId="209CF198" w:rsidR="005900D7" w:rsidRDefault="00BC3BF6" w:rsidP="008B0D31">
      <w:pPr>
        <w:jc w:val="center"/>
        <w:rPr>
          <w:rFonts w:eastAsia="Calibri" w:cs="Arial"/>
          <w:b/>
          <w:bCs/>
          <w:sz w:val="26"/>
          <w:szCs w:val="26"/>
        </w:rPr>
      </w:pPr>
      <w:r w:rsidRPr="00BC3BF6">
        <w:rPr>
          <w:rFonts w:eastAsia="Calibri" w:cs="Arial"/>
          <w:b/>
          <w:bCs/>
          <w:sz w:val="26"/>
          <w:szCs w:val="26"/>
        </w:rPr>
        <w:t>NATIONAL CHANGE OF ADDRESS AND NIXIE MAIL PROCESSING SERVICES</w:t>
      </w:r>
    </w:p>
    <w:p w14:paraId="3FED0BD1" w14:textId="77777777" w:rsidR="00BC3BF6" w:rsidRPr="00643312" w:rsidRDefault="00BC3BF6" w:rsidP="008B0D31">
      <w:pPr>
        <w:jc w:val="center"/>
        <w:rPr>
          <w:rFonts w:eastAsia="Calibri" w:cs="Arial"/>
          <w:b/>
          <w:bCs/>
          <w:sz w:val="26"/>
          <w:szCs w:val="26"/>
        </w:rPr>
      </w:pPr>
    </w:p>
    <w:p w14:paraId="3B473F7D" w14:textId="1B98289C" w:rsidR="008B0D31" w:rsidRPr="00643312" w:rsidRDefault="00A87C6F" w:rsidP="008B0D31">
      <w:pPr>
        <w:jc w:val="center"/>
        <w:rPr>
          <w:rFonts w:eastAsia="Calibri" w:cs="Arial"/>
          <w:b/>
          <w:bCs/>
          <w:sz w:val="26"/>
          <w:szCs w:val="26"/>
        </w:rPr>
      </w:pPr>
      <w:r w:rsidRPr="00643312">
        <w:rPr>
          <w:rFonts w:eastAsia="Calibri" w:cs="Arial"/>
          <w:b/>
          <w:bCs/>
          <w:sz w:val="26"/>
          <w:szCs w:val="26"/>
        </w:rPr>
        <w:t>Response to Bidder Questions</w:t>
      </w:r>
    </w:p>
    <w:p w14:paraId="375B5FF9" w14:textId="77777777" w:rsidR="008B0D31" w:rsidRPr="00643312" w:rsidRDefault="008B0D31" w:rsidP="008B0D31">
      <w:pPr>
        <w:jc w:val="center"/>
        <w:rPr>
          <w:rFonts w:eastAsia="Calibri" w:cs="Arial"/>
          <w:b/>
          <w:bCs/>
          <w:sz w:val="26"/>
          <w:szCs w:val="26"/>
        </w:rPr>
      </w:pPr>
    </w:p>
    <w:p w14:paraId="477DAAD3" w14:textId="77777777" w:rsidR="008B0D31" w:rsidRPr="00643312" w:rsidRDefault="008B0D31" w:rsidP="008B0D31">
      <w:pPr>
        <w:jc w:val="center"/>
        <w:rPr>
          <w:rFonts w:eastAsia="Calibri" w:cs="Arial"/>
          <w:b/>
          <w:bCs/>
          <w:sz w:val="26"/>
          <w:szCs w:val="26"/>
        </w:rPr>
      </w:pPr>
    </w:p>
    <w:p w14:paraId="3B0F328D" w14:textId="77777777" w:rsidR="008B0D31" w:rsidRPr="00643312" w:rsidRDefault="008B0D31" w:rsidP="008B0D31">
      <w:pPr>
        <w:autoSpaceDE w:val="0"/>
        <w:autoSpaceDN w:val="0"/>
        <w:adjustRightInd w:val="0"/>
        <w:spacing w:after="200" w:line="276" w:lineRule="auto"/>
        <w:rPr>
          <w:rFonts w:eastAsia="Calibri" w:cs="Arial"/>
          <w:sz w:val="22"/>
          <w:szCs w:val="22"/>
        </w:rPr>
      </w:pPr>
      <w:bookmarkStart w:id="1" w:name="_Hlk3362932"/>
      <w:r w:rsidRPr="00643312">
        <w:rPr>
          <w:rFonts w:eastAsia="Calibri" w:cs="Arial"/>
          <w:sz w:val="22"/>
          <w:szCs w:val="22"/>
        </w:rPr>
        <w:t>To All Potential Bidders:</w:t>
      </w:r>
    </w:p>
    <w:p w14:paraId="5FBB8B67" w14:textId="64C32077" w:rsidR="00CF7D0F" w:rsidRPr="002D3678" w:rsidRDefault="00A87C6F" w:rsidP="002D3678">
      <w:pPr>
        <w:autoSpaceDE w:val="0"/>
        <w:autoSpaceDN w:val="0"/>
        <w:spacing w:before="60" w:after="200" w:line="276" w:lineRule="auto"/>
        <w:jc w:val="both"/>
        <w:rPr>
          <w:rFonts w:cs="Arial"/>
          <w:sz w:val="22"/>
          <w:szCs w:val="22"/>
        </w:rPr>
      </w:pPr>
      <w:r w:rsidRPr="00643312">
        <w:rPr>
          <w:rFonts w:cs="Arial"/>
          <w:sz w:val="22"/>
          <w:szCs w:val="22"/>
        </w:rPr>
        <w:t xml:space="preserve">Attached are the Department’s Responses to Bidder Questions received for the above referenced </w:t>
      </w:r>
      <w:r w:rsidR="00BC3BF6">
        <w:rPr>
          <w:rFonts w:cs="Arial"/>
          <w:sz w:val="22"/>
          <w:szCs w:val="22"/>
        </w:rPr>
        <w:t>IFB</w:t>
      </w:r>
      <w:r w:rsidRPr="00643312">
        <w:rPr>
          <w:rFonts w:cs="Arial"/>
          <w:sz w:val="22"/>
          <w:szCs w:val="22"/>
        </w:rPr>
        <w:t>.</w:t>
      </w:r>
      <w:bookmarkEnd w:id="1"/>
    </w:p>
    <w:p w14:paraId="547354D5" w14:textId="2CA032DD" w:rsidR="00BF341E" w:rsidRPr="00643312" w:rsidRDefault="00BF341E" w:rsidP="002C2AA6">
      <w:pPr>
        <w:spacing w:before="240" w:line="276" w:lineRule="auto"/>
        <w:rPr>
          <w:rFonts w:cs="Arial"/>
        </w:rPr>
        <w:sectPr w:rsidR="00BF341E" w:rsidRPr="00643312" w:rsidSect="001478F6">
          <w:headerReference w:type="default" r:id="rId9"/>
          <w:footerReference w:type="default" r:id="rId10"/>
          <w:footerReference w:type="first" r:id="rId11"/>
          <w:pgSz w:w="12240" w:h="15840"/>
          <w:pgMar w:top="576" w:right="1440" w:bottom="1440" w:left="1440" w:header="288" w:footer="432" w:gutter="0"/>
          <w:cols w:space="720"/>
          <w:titlePg/>
          <w:docGrid w:linePitch="360"/>
        </w:sectPr>
      </w:pPr>
    </w:p>
    <w:bookmarkEnd w:id="0"/>
    <w:tbl>
      <w:tblPr>
        <w:tblW w:w="45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92"/>
        <w:gridCol w:w="810"/>
        <w:gridCol w:w="4499"/>
        <w:gridCol w:w="6033"/>
      </w:tblGrid>
      <w:tr w:rsidR="007F3C50" w:rsidRPr="00643312" w14:paraId="23AFB78C" w14:textId="77777777" w:rsidTr="00123F66">
        <w:trPr>
          <w:tblHeader/>
          <w:jc w:val="center"/>
        </w:trPr>
        <w:tc>
          <w:tcPr>
            <w:tcW w:w="194" w:type="pct"/>
            <w:tcBorders>
              <w:bottom w:val="single" w:sz="8" w:space="0" w:color="000000" w:themeColor="text1"/>
            </w:tcBorders>
            <w:shd w:val="pct20" w:color="auto" w:fill="auto"/>
            <w:vAlign w:val="center"/>
          </w:tcPr>
          <w:p w14:paraId="11D9FFCE" w14:textId="77777777" w:rsidR="00ED053E" w:rsidRPr="00ED053E" w:rsidRDefault="00ED053E" w:rsidP="002D3678">
            <w:pPr>
              <w:jc w:val="center"/>
              <w:rPr>
                <w:rFonts w:cs="Arial"/>
                <w:b/>
              </w:rPr>
            </w:pPr>
            <w:r w:rsidRPr="00ED053E">
              <w:rPr>
                <w:rFonts w:cs="Arial"/>
              </w:rPr>
              <w:lastRenderedPageBreak/>
              <w:br w:type="page"/>
            </w:r>
            <w:r w:rsidRPr="00ED053E">
              <w:rPr>
                <w:rFonts w:cs="Arial"/>
                <w:b/>
              </w:rPr>
              <w:t>#</w:t>
            </w:r>
          </w:p>
        </w:tc>
        <w:tc>
          <w:tcPr>
            <w:tcW w:w="687" w:type="pct"/>
            <w:tcBorders>
              <w:bottom w:val="single" w:sz="8" w:space="0" w:color="000000" w:themeColor="text1"/>
            </w:tcBorders>
            <w:shd w:val="pct20" w:color="auto" w:fill="auto"/>
            <w:vAlign w:val="center"/>
          </w:tcPr>
          <w:p w14:paraId="7337316A" w14:textId="5A2E0A6E" w:rsidR="00ED053E" w:rsidRPr="00ED053E" w:rsidRDefault="009811D7" w:rsidP="002D3678">
            <w:pPr>
              <w:jc w:val="center"/>
              <w:rPr>
                <w:rFonts w:cs="Arial"/>
                <w:b/>
              </w:rPr>
            </w:pPr>
            <w:r>
              <w:rPr>
                <w:rFonts w:cs="Arial"/>
                <w:b/>
              </w:rPr>
              <w:t>IFB</w:t>
            </w:r>
            <w:r w:rsidR="00ED053E" w:rsidRPr="00ED053E">
              <w:rPr>
                <w:rFonts w:cs="Arial"/>
                <w:b/>
              </w:rPr>
              <w:t xml:space="preserve"> Section</w:t>
            </w:r>
          </w:p>
        </w:tc>
        <w:tc>
          <w:tcPr>
            <w:tcW w:w="294" w:type="pct"/>
            <w:tcBorders>
              <w:bottom w:val="single" w:sz="8" w:space="0" w:color="000000" w:themeColor="text1"/>
            </w:tcBorders>
            <w:shd w:val="pct20" w:color="auto" w:fill="auto"/>
            <w:vAlign w:val="center"/>
          </w:tcPr>
          <w:p w14:paraId="276F9676" w14:textId="3352F6AD" w:rsidR="00ED053E" w:rsidRPr="00ED053E" w:rsidRDefault="009811D7" w:rsidP="002D3678">
            <w:pPr>
              <w:jc w:val="center"/>
              <w:rPr>
                <w:rFonts w:cs="Arial"/>
                <w:b/>
              </w:rPr>
            </w:pPr>
            <w:r>
              <w:rPr>
                <w:rFonts w:cs="Arial"/>
                <w:b/>
              </w:rPr>
              <w:t>IFB</w:t>
            </w:r>
            <w:r w:rsidR="00ED053E" w:rsidRPr="00ED053E">
              <w:rPr>
                <w:rFonts w:cs="Arial"/>
                <w:b/>
              </w:rPr>
              <w:t xml:space="preserve"> </w:t>
            </w:r>
          </w:p>
          <w:p w14:paraId="7EEBF685" w14:textId="77777777" w:rsidR="00ED053E" w:rsidRPr="00ED053E" w:rsidRDefault="00ED053E" w:rsidP="002D3678">
            <w:pPr>
              <w:jc w:val="center"/>
              <w:rPr>
                <w:rFonts w:cs="Arial"/>
                <w:b/>
              </w:rPr>
            </w:pPr>
            <w:r w:rsidRPr="00ED053E">
              <w:rPr>
                <w:rFonts w:cs="Arial"/>
                <w:b/>
              </w:rPr>
              <w:t>Page #</w:t>
            </w:r>
          </w:p>
        </w:tc>
        <w:tc>
          <w:tcPr>
            <w:tcW w:w="1634" w:type="pct"/>
            <w:tcBorders>
              <w:bottom w:val="single" w:sz="8" w:space="0" w:color="000000" w:themeColor="text1"/>
            </w:tcBorders>
            <w:shd w:val="pct20" w:color="auto" w:fill="auto"/>
            <w:vAlign w:val="center"/>
          </w:tcPr>
          <w:p w14:paraId="3CBB19C1" w14:textId="77777777" w:rsidR="00ED053E" w:rsidRPr="00ED053E" w:rsidRDefault="00ED053E" w:rsidP="002D3678">
            <w:pPr>
              <w:jc w:val="center"/>
              <w:rPr>
                <w:rFonts w:cs="Arial"/>
                <w:b/>
              </w:rPr>
            </w:pPr>
            <w:r w:rsidRPr="00ED053E">
              <w:rPr>
                <w:rFonts w:cs="Arial"/>
                <w:b/>
              </w:rPr>
              <w:t>Question</w:t>
            </w:r>
          </w:p>
        </w:tc>
        <w:tc>
          <w:tcPr>
            <w:tcW w:w="2191" w:type="pct"/>
            <w:tcBorders>
              <w:bottom w:val="single" w:sz="8" w:space="0" w:color="000000" w:themeColor="text1"/>
            </w:tcBorders>
            <w:shd w:val="pct20" w:color="auto" w:fill="auto"/>
            <w:vAlign w:val="center"/>
          </w:tcPr>
          <w:p w14:paraId="70D7D914" w14:textId="77777777" w:rsidR="00ED053E" w:rsidRPr="00ED053E" w:rsidRDefault="00ED053E" w:rsidP="002D3678">
            <w:pPr>
              <w:jc w:val="center"/>
              <w:rPr>
                <w:rFonts w:cs="Arial"/>
                <w:b/>
              </w:rPr>
            </w:pPr>
            <w:r w:rsidRPr="00ED053E">
              <w:rPr>
                <w:rFonts w:cs="Arial"/>
                <w:b/>
              </w:rPr>
              <w:t>Answer</w:t>
            </w:r>
          </w:p>
        </w:tc>
      </w:tr>
      <w:tr w:rsidR="00123F66" w:rsidRPr="00643312" w14:paraId="4B5FA716" w14:textId="77777777" w:rsidTr="000C3118">
        <w:trPr>
          <w:jc w:val="center"/>
        </w:trPr>
        <w:tc>
          <w:tcPr>
            <w:tcW w:w="19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7214343" w14:textId="77777777" w:rsidR="00123F66" w:rsidRPr="00ED053E" w:rsidRDefault="00123F66" w:rsidP="00123F66">
            <w:pPr>
              <w:spacing w:before="120" w:after="120"/>
              <w:jc w:val="center"/>
              <w:rPr>
                <w:rFonts w:cs="Arial"/>
                <w:sz w:val="22"/>
                <w:szCs w:val="22"/>
              </w:rPr>
            </w:pPr>
            <w:r w:rsidRPr="00ED053E">
              <w:rPr>
                <w:rFonts w:cs="Arial"/>
                <w:sz w:val="22"/>
                <w:szCs w:val="22"/>
              </w:rPr>
              <w:t>1</w:t>
            </w:r>
          </w:p>
        </w:tc>
        <w:tc>
          <w:tcPr>
            <w:tcW w:w="6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21E2D2B" w14:textId="50E28790" w:rsidR="00123F66" w:rsidRPr="00123F66" w:rsidRDefault="00123F66" w:rsidP="00123F66">
            <w:pPr>
              <w:spacing w:before="120" w:after="120"/>
              <w:rPr>
                <w:rFonts w:cs="Arial"/>
                <w:sz w:val="20"/>
                <w:szCs w:val="20"/>
              </w:rPr>
            </w:pPr>
            <w:r w:rsidRPr="00123F66">
              <w:rPr>
                <w:rFonts w:cs="Arial"/>
                <w:color w:val="000000"/>
                <w:sz w:val="20"/>
                <w:szCs w:val="20"/>
              </w:rPr>
              <w:t>IFB Section 4.3. Record Processing</w:t>
            </w:r>
          </w:p>
        </w:tc>
        <w:tc>
          <w:tcPr>
            <w:tcW w:w="29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AB79D92" w14:textId="1D777987" w:rsidR="00123F66" w:rsidRPr="00ED053E" w:rsidRDefault="00123F66" w:rsidP="00123F66">
            <w:pPr>
              <w:spacing w:before="120" w:after="120"/>
              <w:jc w:val="center"/>
              <w:rPr>
                <w:rFonts w:cs="Arial"/>
                <w:sz w:val="22"/>
                <w:szCs w:val="22"/>
              </w:rPr>
            </w:pPr>
            <w:r>
              <w:rPr>
                <w:rFonts w:cs="Arial"/>
                <w:color w:val="000000"/>
                <w:sz w:val="22"/>
                <w:szCs w:val="22"/>
              </w:rPr>
              <w:t>11</w:t>
            </w:r>
          </w:p>
        </w:tc>
        <w:tc>
          <w:tcPr>
            <w:tcW w:w="16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2BBD95" w14:textId="0B7DFE32" w:rsidR="00123F66" w:rsidRPr="00ED053E" w:rsidRDefault="00123F66" w:rsidP="00123F66">
            <w:pPr>
              <w:spacing w:before="120" w:after="120"/>
              <w:rPr>
                <w:rFonts w:cs="Arial"/>
                <w:sz w:val="22"/>
                <w:szCs w:val="22"/>
              </w:rPr>
            </w:pPr>
            <w:r w:rsidRPr="009811D7">
              <w:rPr>
                <w:rFonts w:cs="Arial"/>
                <w:color w:val="000000"/>
                <w:sz w:val="22"/>
                <w:szCs w:val="22"/>
              </w:rPr>
              <w:t>You mention you expect to produce one Business file and one Individual file per month. What is the record count in each file?</w:t>
            </w:r>
          </w:p>
        </w:tc>
        <w:tc>
          <w:tcPr>
            <w:tcW w:w="21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A14CF40" w14:textId="34DE86E3" w:rsidR="00123F66" w:rsidRPr="00ED053E" w:rsidRDefault="00123F66" w:rsidP="00123F66">
            <w:pPr>
              <w:spacing w:before="120" w:after="120"/>
              <w:rPr>
                <w:rFonts w:cs="Arial"/>
                <w:sz w:val="22"/>
                <w:szCs w:val="22"/>
              </w:rPr>
            </w:pPr>
            <w:r w:rsidRPr="00123F66">
              <w:rPr>
                <w:rFonts w:cs="Arial"/>
                <w:b/>
                <w:bCs/>
                <w:color w:val="002060"/>
                <w:sz w:val="22"/>
                <w:szCs w:val="22"/>
              </w:rPr>
              <w:t>Answer: Currently, DTF’s file of business taxpayer addresses (Business File) contains approximately twenty-two million (22,000,000) Records; DTF’s file of Individual taxpayer addresses (Individual File) contains approximately thirty-six million (36,000,000) Records. Based on historical data, it is expected the number of Records on the Business File will increase by approximately 5% per year while the number of Records on the Individual File will increase by approximately 2.5% per year.</w:t>
            </w:r>
            <w:r w:rsidRPr="00FD5056">
              <w:rPr>
                <w:rFonts w:cs="Arial"/>
                <w:sz w:val="22"/>
                <w:szCs w:val="22"/>
              </w:rPr>
              <w:t xml:space="preserve">  </w:t>
            </w:r>
          </w:p>
        </w:tc>
      </w:tr>
      <w:tr w:rsidR="00123F66" w:rsidRPr="00643312" w14:paraId="015EC139" w14:textId="77777777" w:rsidTr="00123F66">
        <w:trPr>
          <w:jc w:val="center"/>
        </w:trPr>
        <w:tc>
          <w:tcPr>
            <w:tcW w:w="19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F99D2DB" w14:textId="77777777" w:rsidR="00123F66" w:rsidRPr="00ED053E" w:rsidRDefault="00123F66" w:rsidP="00123F66">
            <w:pPr>
              <w:spacing w:before="120" w:after="120"/>
              <w:jc w:val="center"/>
              <w:rPr>
                <w:rFonts w:cs="Arial"/>
                <w:sz w:val="22"/>
                <w:szCs w:val="22"/>
              </w:rPr>
            </w:pPr>
            <w:r w:rsidRPr="00ED053E">
              <w:rPr>
                <w:rFonts w:cs="Arial"/>
                <w:sz w:val="22"/>
                <w:szCs w:val="22"/>
              </w:rPr>
              <w:t>2</w:t>
            </w:r>
          </w:p>
        </w:tc>
        <w:tc>
          <w:tcPr>
            <w:tcW w:w="6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B3AE98F" w14:textId="3DA5F6F1" w:rsidR="00123F66" w:rsidRPr="00123F66" w:rsidRDefault="00123F66" w:rsidP="00123F66">
            <w:pPr>
              <w:spacing w:before="120" w:after="120"/>
              <w:rPr>
                <w:rFonts w:cs="Arial"/>
                <w:color w:val="000000"/>
                <w:sz w:val="20"/>
                <w:szCs w:val="20"/>
              </w:rPr>
            </w:pPr>
            <w:r w:rsidRPr="00123F66">
              <w:rPr>
                <w:rFonts w:cs="Arial"/>
                <w:color w:val="000000"/>
                <w:sz w:val="20"/>
                <w:szCs w:val="20"/>
              </w:rPr>
              <w:t>IFB Section 6. Price</w:t>
            </w:r>
          </w:p>
        </w:tc>
        <w:tc>
          <w:tcPr>
            <w:tcW w:w="29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1EF029" w14:textId="059521C7" w:rsidR="00123F66" w:rsidRPr="00ED053E" w:rsidRDefault="00123F66" w:rsidP="00123F66">
            <w:pPr>
              <w:spacing w:before="120" w:after="120"/>
              <w:jc w:val="center"/>
              <w:rPr>
                <w:rFonts w:cs="Arial"/>
                <w:sz w:val="22"/>
                <w:szCs w:val="22"/>
              </w:rPr>
            </w:pPr>
            <w:r>
              <w:rPr>
                <w:rFonts w:cs="Arial"/>
                <w:sz w:val="22"/>
                <w:szCs w:val="22"/>
              </w:rPr>
              <w:t>18</w:t>
            </w:r>
          </w:p>
        </w:tc>
        <w:tc>
          <w:tcPr>
            <w:tcW w:w="16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004368F" w14:textId="20DF28D4" w:rsidR="00123F66" w:rsidRPr="00ED053E" w:rsidRDefault="00123F66" w:rsidP="00123F66">
            <w:pPr>
              <w:spacing w:before="120" w:after="120"/>
              <w:rPr>
                <w:rFonts w:cs="Arial"/>
                <w:sz w:val="22"/>
                <w:szCs w:val="22"/>
              </w:rPr>
            </w:pPr>
            <w:r w:rsidRPr="00B355A7">
              <w:rPr>
                <w:rFonts w:cs="Arial"/>
                <w:sz w:val="22"/>
                <w:szCs w:val="22"/>
              </w:rPr>
              <w:t>“The proposed pricing for each year cannot be increased during the term of the contract”. Just trying to clarify, does that mean each year in the contract has to be the same amount? Or are you saying once signed there shall be no uplift to the agreed upon numbers during the contract period?</w:t>
            </w:r>
          </w:p>
        </w:tc>
        <w:tc>
          <w:tcPr>
            <w:tcW w:w="21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802CE9" w14:textId="77777777" w:rsidR="00123F66" w:rsidRPr="00123F66" w:rsidRDefault="00123F66" w:rsidP="00123F66">
            <w:pPr>
              <w:spacing w:before="120" w:after="120"/>
              <w:rPr>
                <w:rFonts w:cs="Arial"/>
                <w:b/>
                <w:bCs/>
                <w:color w:val="002060"/>
                <w:sz w:val="22"/>
                <w:szCs w:val="22"/>
              </w:rPr>
            </w:pPr>
            <w:r w:rsidRPr="00123F66">
              <w:rPr>
                <w:rFonts w:cs="Arial"/>
                <w:b/>
                <w:bCs/>
                <w:color w:val="002060"/>
                <w:sz w:val="22"/>
                <w:szCs w:val="22"/>
              </w:rPr>
              <w:t>Answer to the First Question: No. Each year in the contract does not have to be the same amount.</w:t>
            </w:r>
          </w:p>
          <w:p w14:paraId="6F47C128" w14:textId="77777777" w:rsidR="00123F66" w:rsidRPr="00123F66" w:rsidRDefault="00123F66" w:rsidP="00123F66">
            <w:pPr>
              <w:spacing w:before="120" w:after="120"/>
              <w:rPr>
                <w:rFonts w:cs="Arial"/>
                <w:b/>
                <w:bCs/>
                <w:color w:val="002060"/>
                <w:sz w:val="22"/>
                <w:szCs w:val="22"/>
              </w:rPr>
            </w:pPr>
          </w:p>
          <w:p w14:paraId="0CADC4AC" w14:textId="2ECA058E" w:rsidR="00123F66" w:rsidRPr="00123F66" w:rsidRDefault="00123F66" w:rsidP="00123F66">
            <w:pPr>
              <w:spacing w:before="120" w:after="120"/>
              <w:rPr>
                <w:rFonts w:cs="Arial"/>
                <w:b/>
                <w:bCs/>
                <w:color w:val="002060"/>
                <w:sz w:val="22"/>
                <w:szCs w:val="22"/>
              </w:rPr>
            </w:pPr>
            <w:r w:rsidRPr="00123F66">
              <w:rPr>
                <w:rFonts w:cs="Arial"/>
                <w:b/>
                <w:bCs/>
                <w:color w:val="002060"/>
                <w:sz w:val="22"/>
                <w:szCs w:val="22"/>
              </w:rPr>
              <w:t>Answer to the Second Question: Yes.</w:t>
            </w:r>
          </w:p>
        </w:tc>
      </w:tr>
      <w:tr w:rsidR="00123F66" w:rsidRPr="00643312" w14:paraId="639288E6" w14:textId="77777777" w:rsidTr="00123F66">
        <w:trPr>
          <w:jc w:val="center"/>
        </w:trPr>
        <w:tc>
          <w:tcPr>
            <w:tcW w:w="19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2746CE" w14:textId="77777777" w:rsidR="00123F66" w:rsidRPr="00ED053E" w:rsidRDefault="00123F66" w:rsidP="00123F66">
            <w:pPr>
              <w:spacing w:before="120" w:after="120"/>
              <w:jc w:val="center"/>
              <w:rPr>
                <w:rFonts w:cs="Arial"/>
                <w:sz w:val="22"/>
                <w:szCs w:val="22"/>
              </w:rPr>
            </w:pPr>
            <w:r w:rsidRPr="00ED053E">
              <w:rPr>
                <w:rFonts w:cs="Arial"/>
                <w:sz w:val="22"/>
                <w:szCs w:val="22"/>
              </w:rPr>
              <w:t>3</w:t>
            </w:r>
          </w:p>
        </w:tc>
        <w:tc>
          <w:tcPr>
            <w:tcW w:w="6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CD40EED" w14:textId="41BA8343" w:rsidR="00123F66" w:rsidRPr="00123F66" w:rsidRDefault="00123F66" w:rsidP="00123F66">
            <w:pPr>
              <w:spacing w:before="120" w:after="120"/>
              <w:rPr>
                <w:rFonts w:cs="Arial"/>
                <w:sz w:val="20"/>
                <w:szCs w:val="20"/>
              </w:rPr>
            </w:pPr>
            <w:r w:rsidRPr="00123F66">
              <w:rPr>
                <w:rFonts w:cs="Arial"/>
                <w:sz w:val="20"/>
                <w:szCs w:val="20"/>
              </w:rPr>
              <w:t>IFB Section 7. Method of Award</w:t>
            </w:r>
          </w:p>
        </w:tc>
        <w:tc>
          <w:tcPr>
            <w:tcW w:w="29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E4D6105" w14:textId="49FE2E88" w:rsidR="00123F66" w:rsidRPr="00ED053E" w:rsidRDefault="00123F66" w:rsidP="00123F66">
            <w:pPr>
              <w:spacing w:before="120" w:after="120"/>
              <w:jc w:val="center"/>
              <w:rPr>
                <w:rFonts w:cs="Arial"/>
                <w:sz w:val="22"/>
                <w:szCs w:val="22"/>
              </w:rPr>
            </w:pPr>
            <w:r>
              <w:rPr>
                <w:rFonts w:cs="Arial"/>
                <w:sz w:val="22"/>
                <w:szCs w:val="22"/>
              </w:rPr>
              <w:t>18</w:t>
            </w:r>
          </w:p>
        </w:tc>
        <w:tc>
          <w:tcPr>
            <w:tcW w:w="16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AD952EC" w14:textId="2A7B7118" w:rsidR="00123F66" w:rsidRPr="00ED053E" w:rsidRDefault="00123F66" w:rsidP="00123F66">
            <w:pPr>
              <w:spacing w:before="120" w:after="120"/>
              <w:rPr>
                <w:rFonts w:cs="Arial"/>
                <w:sz w:val="22"/>
                <w:szCs w:val="22"/>
              </w:rPr>
            </w:pPr>
            <w:r w:rsidRPr="00B355A7">
              <w:rPr>
                <w:rFonts w:cs="Arial"/>
                <w:sz w:val="22"/>
                <w:szCs w:val="22"/>
              </w:rPr>
              <w:t>“One (1) award shall be made based on the lowest total cost for services to the Department by a responsive and responsible Bidder whose Bid meets the specifications as outlined in this IFB.” Is this the only/main criteria for determining selection?</w:t>
            </w:r>
          </w:p>
        </w:tc>
        <w:tc>
          <w:tcPr>
            <w:tcW w:w="21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E4EE420" w14:textId="5D0460E0" w:rsidR="00123F66" w:rsidRPr="004E445F" w:rsidRDefault="00123F66" w:rsidP="00123F66">
            <w:pPr>
              <w:spacing w:before="120" w:after="120"/>
              <w:rPr>
                <w:rFonts w:cs="Arial"/>
                <w:b/>
                <w:bCs/>
                <w:color w:val="002060"/>
                <w:sz w:val="22"/>
                <w:szCs w:val="22"/>
              </w:rPr>
            </w:pPr>
            <w:r w:rsidRPr="00123F66">
              <w:rPr>
                <w:rFonts w:cs="Arial"/>
                <w:b/>
                <w:bCs/>
                <w:color w:val="002060"/>
                <w:sz w:val="22"/>
                <w:szCs w:val="22"/>
              </w:rPr>
              <w:t>Answer: Bidders eligible to the award must meet all the mandatory requirements, including but not limited to those in Section 3. Qualifying Requirements; Section 4. Mandatory Service Requirements; and Section 5. Testing. The Bidder who has proposed the lowest total cost will win. Refer to the IFB document for additional information.</w:t>
            </w:r>
          </w:p>
        </w:tc>
      </w:tr>
      <w:tr w:rsidR="00123F66" w:rsidRPr="00643312" w14:paraId="2CA50333" w14:textId="77777777" w:rsidTr="00123F66">
        <w:trPr>
          <w:jc w:val="center"/>
        </w:trPr>
        <w:tc>
          <w:tcPr>
            <w:tcW w:w="19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79AC157" w14:textId="77777777" w:rsidR="00123F66" w:rsidRPr="00ED053E" w:rsidRDefault="00123F66" w:rsidP="00123F66">
            <w:pPr>
              <w:spacing w:before="120" w:after="120"/>
              <w:jc w:val="center"/>
              <w:rPr>
                <w:rFonts w:cs="Arial"/>
                <w:sz w:val="22"/>
                <w:szCs w:val="22"/>
              </w:rPr>
            </w:pPr>
            <w:r w:rsidRPr="00ED053E">
              <w:rPr>
                <w:rFonts w:cs="Arial"/>
                <w:sz w:val="22"/>
                <w:szCs w:val="22"/>
              </w:rPr>
              <w:t>4</w:t>
            </w:r>
          </w:p>
        </w:tc>
        <w:tc>
          <w:tcPr>
            <w:tcW w:w="6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6F7DBA7" w14:textId="0EBB03C6" w:rsidR="00123F66" w:rsidRPr="00123F66" w:rsidRDefault="00123F66" w:rsidP="00923F70">
            <w:pPr>
              <w:spacing w:before="120" w:after="120"/>
              <w:rPr>
                <w:rFonts w:cs="Arial"/>
                <w:sz w:val="20"/>
                <w:szCs w:val="20"/>
              </w:rPr>
            </w:pPr>
            <w:r w:rsidRPr="00123F66">
              <w:rPr>
                <w:rFonts w:cs="Arial"/>
                <w:sz w:val="20"/>
                <w:szCs w:val="20"/>
              </w:rPr>
              <w:t xml:space="preserve">IFB Attachment D. Financial Response Form </w:t>
            </w:r>
          </w:p>
        </w:tc>
        <w:tc>
          <w:tcPr>
            <w:tcW w:w="29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DB28695" w14:textId="6274F3CE" w:rsidR="00123F66" w:rsidRPr="00ED053E" w:rsidRDefault="00123F66" w:rsidP="00123F66">
            <w:pPr>
              <w:spacing w:before="120" w:after="120"/>
              <w:jc w:val="center"/>
              <w:rPr>
                <w:rFonts w:cs="Arial"/>
                <w:sz w:val="22"/>
                <w:szCs w:val="22"/>
              </w:rPr>
            </w:pPr>
            <w:r>
              <w:rPr>
                <w:rFonts w:cs="Arial"/>
                <w:sz w:val="22"/>
                <w:szCs w:val="22"/>
              </w:rPr>
              <w:t>120</w:t>
            </w:r>
          </w:p>
        </w:tc>
        <w:tc>
          <w:tcPr>
            <w:tcW w:w="16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BF67A6B" w14:textId="6A4809CC" w:rsidR="00123F66" w:rsidRPr="00ED053E" w:rsidRDefault="00123F66" w:rsidP="00123F66">
            <w:pPr>
              <w:spacing w:before="120" w:after="120"/>
              <w:rPr>
                <w:rFonts w:cs="Arial"/>
                <w:sz w:val="22"/>
                <w:szCs w:val="22"/>
              </w:rPr>
            </w:pPr>
            <w:r w:rsidRPr="00B355A7">
              <w:rPr>
                <w:rFonts w:cs="Arial"/>
                <w:sz w:val="22"/>
                <w:szCs w:val="22"/>
              </w:rPr>
              <w:t>You mention you have (12) production runs per year. Is it 1/12 each run or do you run all records in each production run?</w:t>
            </w:r>
          </w:p>
        </w:tc>
        <w:tc>
          <w:tcPr>
            <w:tcW w:w="21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59C6A41" w14:textId="7AB354E1" w:rsidR="00123F66" w:rsidRPr="004E445F" w:rsidRDefault="00123F66" w:rsidP="00123F66">
            <w:pPr>
              <w:spacing w:before="120" w:after="120"/>
              <w:rPr>
                <w:rFonts w:cs="Arial"/>
                <w:b/>
                <w:bCs/>
                <w:color w:val="002060"/>
                <w:sz w:val="22"/>
                <w:szCs w:val="22"/>
              </w:rPr>
            </w:pPr>
            <w:r w:rsidRPr="00123F66">
              <w:rPr>
                <w:rFonts w:cs="Arial"/>
                <w:b/>
                <w:bCs/>
                <w:color w:val="002060"/>
                <w:sz w:val="22"/>
                <w:szCs w:val="22"/>
              </w:rPr>
              <w:t>Answer: We run all records in each production run.</w:t>
            </w:r>
          </w:p>
        </w:tc>
      </w:tr>
    </w:tbl>
    <w:p w14:paraId="5C1B090B" w14:textId="6DB441C4" w:rsidR="00DD1A7A" w:rsidRPr="00643312" w:rsidRDefault="00DD1A7A" w:rsidP="00123F66">
      <w:pPr>
        <w:spacing w:before="240" w:after="240"/>
        <w:rPr>
          <w:rFonts w:cs="Arial"/>
          <w:sz w:val="22"/>
          <w:szCs w:val="22"/>
        </w:rPr>
      </w:pPr>
    </w:p>
    <w:sectPr w:rsidR="00DD1A7A" w:rsidRPr="00643312" w:rsidSect="0056750A">
      <w:footerReference w:type="default" r:id="rId12"/>
      <w:pgSz w:w="15840" w:h="12240" w:orient="landscape"/>
      <w:pgMar w:top="720" w:right="288" w:bottom="720" w:left="288"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E6EB" w14:textId="77777777" w:rsidR="00093C4F" w:rsidRDefault="00093C4F" w:rsidP="008B0D31">
      <w:r>
        <w:separator/>
      </w:r>
    </w:p>
  </w:endnote>
  <w:endnote w:type="continuationSeparator" w:id="0">
    <w:p w14:paraId="132AD3B8" w14:textId="77777777" w:rsidR="00093C4F" w:rsidRDefault="00093C4F" w:rsidP="008B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oxima Nova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216277"/>
      <w:docPartObj>
        <w:docPartGallery w:val="Page Numbers (Bottom of Page)"/>
        <w:docPartUnique/>
      </w:docPartObj>
    </w:sdtPr>
    <w:sdtEndPr/>
    <w:sdtContent>
      <w:sdt>
        <w:sdtPr>
          <w:id w:val="-1769616900"/>
          <w:docPartObj>
            <w:docPartGallery w:val="Page Numbers (Top of Page)"/>
            <w:docPartUnique/>
          </w:docPartObj>
        </w:sdtPr>
        <w:sdtEndPr/>
        <w:sdtContent>
          <w:p w14:paraId="27D5292E" w14:textId="77777777" w:rsidR="00093C4F" w:rsidRDefault="00093C4F" w:rsidP="00DC1950">
            <w:pPr>
              <w:spacing w:before="200"/>
              <w:jc w:val="right"/>
            </w:pPr>
          </w:p>
          <w:tbl>
            <w:tblPr>
              <w:tblStyle w:val="TableGrid"/>
              <w:tblW w:w="10890" w:type="dxa"/>
              <w:tblInd w:w="-635" w:type="dxa"/>
              <w:tblLook w:val="04A0" w:firstRow="1" w:lastRow="0" w:firstColumn="1" w:lastColumn="0" w:noHBand="0" w:noVBand="1"/>
            </w:tblPr>
            <w:tblGrid>
              <w:gridCol w:w="10890"/>
            </w:tblGrid>
            <w:tr w:rsidR="00093C4F" w14:paraId="77C4DB46" w14:textId="77777777" w:rsidTr="00E24A82">
              <w:tc>
                <w:tcPr>
                  <w:tcW w:w="1089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1980A84A" w14:textId="4BB6EB4E" w:rsidR="00093C4F" w:rsidRPr="00E24A82" w:rsidRDefault="00093C4F" w:rsidP="00E24A82">
                  <w:pPr>
                    <w:pStyle w:val="Footer"/>
                    <w:spacing w:before="120"/>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tc>
            </w:tr>
          </w:tbl>
          <w:p w14:paraId="2851CBFD" w14:textId="454ABE5B" w:rsidR="00093C4F" w:rsidRPr="002C2AA6" w:rsidRDefault="00226565" w:rsidP="00E24A82"/>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661974707"/>
      <w:docPartObj>
        <w:docPartGallery w:val="Page Numbers (Top of Page)"/>
        <w:docPartUnique/>
      </w:docPartObj>
    </w:sdtPr>
    <w:sdtEndPr/>
    <w:sdtContent>
      <w:p w14:paraId="58385767" w14:textId="0F20E0E9" w:rsidR="001478F6" w:rsidRPr="005A18F0" w:rsidRDefault="00BC3BF6" w:rsidP="005A18F0">
        <w:pPr>
          <w:spacing w:after="60"/>
          <w:ind w:left="-360"/>
          <w:rPr>
            <w:sz w:val="22"/>
            <w:szCs w:val="22"/>
          </w:rPr>
        </w:pPr>
        <w:r w:rsidRPr="005A18F0">
          <w:rPr>
            <w:sz w:val="22"/>
            <w:szCs w:val="22"/>
          </w:rPr>
          <w:t xml:space="preserve">IFB </w:t>
        </w:r>
        <w:r w:rsidR="00093C4F" w:rsidRPr="005A18F0">
          <w:rPr>
            <w:sz w:val="22"/>
            <w:szCs w:val="22"/>
          </w:rPr>
          <w:t>2</w:t>
        </w:r>
        <w:r w:rsidR="001478F6" w:rsidRPr="005A18F0">
          <w:rPr>
            <w:sz w:val="22"/>
            <w:szCs w:val="22"/>
          </w:rPr>
          <w:t>2</w:t>
        </w:r>
        <w:r w:rsidR="00093C4F" w:rsidRPr="005A18F0">
          <w:rPr>
            <w:sz w:val="22"/>
            <w:szCs w:val="22"/>
          </w:rPr>
          <w:t>-</w:t>
        </w:r>
        <w:r w:rsidRPr="005A18F0">
          <w:rPr>
            <w:sz w:val="22"/>
            <w:szCs w:val="22"/>
          </w:rPr>
          <w:t>2</w:t>
        </w:r>
        <w:r w:rsidR="00093C4F" w:rsidRPr="005A18F0">
          <w:rPr>
            <w:sz w:val="22"/>
            <w:szCs w:val="22"/>
          </w:rPr>
          <w:t>0</w:t>
        </w:r>
        <w:r w:rsidRPr="005A18F0">
          <w:rPr>
            <w:sz w:val="22"/>
            <w:szCs w:val="22"/>
          </w:rPr>
          <w:t>1</w:t>
        </w:r>
        <w:r w:rsidR="00093C4F" w:rsidRPr="005A18F0">
          <w:rPr>
            <w:sz w:val="22"/>
            <w:szCs w:val="22"/>
          </w:rPr>
          <w:t xml:space="preserve"> </w:t>
        </w:r>
        <w:r w:rsidRPr="005A18F0">
          <w:rPr>
            <w:sz w:val="22"/>
            <w:szCs w:val="22"/>
          </w:rPr>
          <w:t>National Change</w:t>
        </w:r>
        <w:r w:rsidRPr="005A18F0">
          <w:rPr>
            <w:rFonts w:cs="Arial"/>
            <w:sz w:val="22"/>
            <w:szCs w:val="22"/>
          </w:rPr>
          <w:t xml:space="preserve"> of Address (NCOA) and NIXIE Mail Processing Services </w:t>
        </w:r>
        <w:r w:rsidR="00093C4F" w:rsidRPr="005A18F0">
          <w:rPr>
            <w:rFonts w:cs="Arial"/>
            <w:color w:val="A6A6A6" w:themeColor="background1" w:themeShade="A6"/>
            <w:sz w:val="22"/>
            <w:szCs w:val="22"/>
          </w:rPr>
          <w:t xml:space="preserve">| </w:t>
        </w:r>
        <w:sdt>
          <w:sdtPr>
            <w:rPr>
              <w:sz w:val="22"/>
              <w:szCs w:val="22"/>
            </w:rPr>
            <w:id w:val="1442955377"/>
            <w:docPartObj>
              <w:docPartGallery w:val="Page Numbers (Bottom of Page)"/>
              <w:docPartUnique/>
            </w:docPartObj>
          </w:sdtPr>
          <w:sdtEndPr/>
          <w:sdtContent>
            <w:sdt>
              <w:sdtPr>
                <w:rPr>
                  <w:sz w:val="22"/>
                  <w:szCs w:val="22"/>
                </w:rPr>
                <w:id w:val="-1130709303"/>
                <w:docPartObj>
                  <w:docPartGallery w:val="Page Numbers (Top of Page)"/>
                  <w:docPartUnique/>
                </w:docPartObj>
              </w:sdtPr>
              <w:sdtEndPr/>
              <w:sdtContent>
                <w:r w:rsidR="001478F6" w:rsidRPr="005A18F0">
                  <w:rPr>
                    <w:sz w:val="22"/>
                    <w:szCs w:val="22"/>
                  </w:rPr>
                  <w:t xml:space="preserve">Page </w:t>
                </w:r>
                <w:r w:rsidR="001478F6" w:rsidRPr="005A18F0">
                  <w:rPr>
                    <w:b/>
                    <w:bCs/>
                    <w:sz w:val="22"/>
                    <w:szCs w:val="22"/>
                  </w:rPr>
                  <w:fldChar w:fldCharType="begin"/>
                </w:r>
                <w:r w:rsidR="001478F6" w:rsidRPr="005A18F0">
                  <w:rPr>
                    <w:b/>
                    <w:bCs/>
                    <w:sz w:val="22"/>
                    <w:szCs w:val="22"/>
                  </w:rPr>
                  <w:instrText xml:space="preserve"> PAGE </w:instrText>
                </w:r>
                <w:r w:rsidR="001478F6" w:rsidRPr="005A18F0">
                  <w:rPr>
                    <w:b/>
                    <w:bCs/>
                    <w:sz w:val="22"/>
                    <w:szCs w:val="22"/>
                  </w:rPr>
                  <w:fldChar w:fldCharType="separate"/>
                </w:r>
                <w:r w:rsidR="001478F6" w:rsidRPr="005A18F0">
                  <w:rPr>
                    <w:b/>
                    <w:bCs/>
                    <w:sz w:val="22"/>
                    <w:szCs w:val="22"/>
                  </w:rPr>
                  <w:t>1</w:t>
                </w:r>
                <w:r w:rsidR="001478F6" w:rsidRPr="005A18F0">
                  <w:rPr>
                    <w:b/>
                    <w:bCs/>
                    <w:sz w:val="22"/>
                    <w:szCs w:val="22"/>
                  </w:rPr>
                  <w:fldChar w:fldCharType="end"/>
                </w:r>
                <w:r w:rsidR="001478F6" w:rsidRPr="005A18F0">
                  <w:rPr>
                    <w:sz w:val="22"/>
                    <w:szCs w:val="22"/>
                  </w:rPr>
                  <w:t xml:space="preserve"> of </w:t>
                </w:r>
                <w:r w:rsidR="001478F6" w:rsidRPr="005A18F0">
                  <w:rPr>
                    <w:b/>
                    <w:bCs/>
                    <w:sz w:val="22"/>
                    <w:szCs w:val="22"/>
                  </w:rPr>
                  <w:fldChar w:fldCharType="begin"/>
                </w:r>
                <w:r w:rsidR="001478F6" w:rsidRPr="005A18F0">
                  <w:rPr>
                    <w:b/>
                    <w:bCs/>
                    <w:sz w:val="22"/>
                    <w:szCs w:val="22"/>
                  </w:rPr>
                  <w:instrText xml:space="preserve"> NUMPAGES  </w:instrText>
                </w:r>
                <w:r w:rsidR="001478F6" w:rsidRPr="005A18F0">
                  <w:rPr>
                    <w:b/>
                    <w:bCs/>
                    <w:sz w:val="22"/>
                    <w:szCs w:val="22"/>
                  </w:rPr>
                  <w:fldChar w:fldCharType="separate"/>
                </w:r>
                <w:r w:rsidR="001478F6" w:rsidRPr="005A18F0">
                  <w:rPr>
                    <w:b/>
                    <w:bCs/>
                    <w:sz w:val="22"/>
                    <w:szCs w:val="22"/>
                  </w:rPr>
                  <w:t>3</w:t>
                </w:r>
                <w:r w:rsidR="001478F6" w:rsidRPr="005A18F0">
                  <w:rPr>
                    <w:b/>
                    <w:bCs/>
                    <w:sz w:val="22"/>
                    <w:szCs w:val="22"/>
                  </w:rPr>
                  <w:fldChar w:fldCharType="end"/>
                </w:r>
              </w:sdtContent>
            </w:sdt>
          </w:sdtContent>
        </w:sdt>
      </w:p>
      <w:p w14:paraId="3FE0FBA5" w14:textId="3D037149" w:rsidR="00093C4F" w:rsidRPr="005A18F0" w:rsidRDefault="001478F6" w:rsidP="001F40A0">
        <w:pPr>
          <w:jc w:val="right"/>
          <w:rPr>
            <w:sz w:val="22"/>
            <w:szCs w:val="22"/>
          </w:rPr>
        </w:pPr>
        <w:r w:rsidRPr="005A18F0">
          <w:rPr>
            <w:b/>
            <w:bCs/>
            <w:sz w:val="22"/>
            <w:szCs w:val="22"/>
          </w:rPr>
          <w:t>Questions and Answers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2B79" w14:textId="77777777" w:rsidR="00BC3BF6" w:rsidRPr="005A18F0" w:rsidRDefault="00BC3BF6" w:rsidP="005A18F0">
    <w:pPr>
      <w:spacing w:after="60"/>
      <w:ind w:left="4680" w:right="774"/>
      <w:rPr>
        <w:sz w:val="22"/>
        <w:szCs w:val="22"/>
      </w:rPr>
    </w:pPr>
    <w:r w:rsidRPr="005A18F0">
      <w:rPr>
        <w:sz w:val="22"/>
        <w:szCs w:val="22"/>
      </w:rPr>
      <w:t xml:space="preserve">IFB 22-201 National Change of Address (NCOA) and NIXIE Mail Processing Services | </w:t>
    </w:r>
    <w:sdt>
      <w:sdtPr>
        <w:rPr>
          <w:sz w:val="22"/>
          <w:szCs w:val="22"/>
        </w:rPr>
        <w:id w:val="681630862"/>
        <w:docPartObj>
          <w:docPartGallery w:val="Page Numbers (Bottom of Page)"/>
          <w:docPartUnique/>
        </w:docPartObj>
      </w:sdtPr>
      <w:sdtEndPr/>
      <w:sdtContent>
        <w:sdt>
          <w:sdtPr>
            <w:rPr>
              <w:sz w:val="22"/>
              <w:szCs w:val="22"/>
            </w:rPr>
            <w:id w:val="-1648505475"/>
            <w:docPartObj>
              <w:docPartGallery w:val="Page Numbers (Top of Page)"/>
              <w:docPartUnique/>
            </w:docPartObj>
          </w:sdtPr>
          <w:sdtEndPr/>
          <w:sdtContent>
            <w:r w:rsidRPr="005A18F0">
              <w:rPr>
                <w:sz w:val="22"/>
                <w:szCs w:val="22"/>
              </w:rPr>
              <w:t xml:space="preserve">Page </w:t>
            </w:r>
            <w:r w:rsidRPr="005A18F0">
              <w:rPr>
                <w:b/>
                <w:bCs/>
                <w:sz w:val="22"/>
                <w:szCs w:val="22"/>
              </w:rPr>
              <w:fldChar w:fldCharType="begin"/>
            </w:r>
            <w:r w:rsidRPr="005A18F0">
              <w:rPr>
                <w:b/>
                <w:bCs/>
                <w:sz w:val="22"/>
                <w:szCs w:val="22"/>
              </w:rPr>
              <w:instrText xml:space="preserve"> PAGE </w:instrText>
            </w:r>
            <w:r w:rsidRPr="005A18F0">
              <w:rPr>
                <w:b/>
                <w:bCs/>
                <w:sz w:val="22"/>
                <w:szCs w:val="22"/>
              </w:rPr>
              <w:fldChar w:fldCharType="separate"/>
            </w:r>
            <w:r w:rsidRPr="005A18F0">
              <w:rPr>
                <w:b/>
                <w:bCs/>
                <w:sz w:val="22"/>
                <w:szCs w:val="22"/>
              </w:rPr>
              <w:t>1</w:t>
            </w:r>
            <w:r w:rsidRPr="005A18F0">
              <w:rPr>
                <w:b/>
                <w:bCs/>
                <w:sz w:val="22"/>
                <w:szCs w:val="22"/>
              </w:rPr>
              <w:fldChar w:fldCharType="end"/>
            </w:r>
            <w:r w:rsidRPr="005A18F0">
              <w:rPr>
                <w:sz w:val="22"/>
                <w:szCs w:val="22"/>
              </w:rPr>
              <w:t xml:space="preserve"> of </w:t>
            </w:r>
            <w:r w:rsidRPr="005A18F0">
              <w:rPr>
                <w:b/>
                <w:bCs/>
                <w:sz w:val="22"/>
                <w:szCs w:val="22"/>
              </w:rPr>
              <w:fldChar w:fldCharType="begin"/>
            </w:r>
            <w:r w:rsidRPr="005A18F0">
              <w:rPr>
                <w:b/>
                <w:bCs/>
                <w:sz w:val="22"/>
                <w:szCs w:val="22"/>
              </w:rPr>
              <w:instrText xml:space="preserve"> NUMPAGES  </w:instrText>
            </w:r>
            <w:r w:rsidRPr="005A18F0">
              <w:rPr>
                <w:b/>
                <w:bCs/>
                <w:sz w:val="22"/>
                <w:szCs w:val="22"/>
              </w:rPr>
              <w:fldChar w:fldCharType="separate"/>
            </w:r>
            <w:r w:rsidRPr="005A18F0">
              <w:rPr>
                <w:b/>
                <w:bCs/>
                <w:sz w:val="22"/>
                <w:szCs w:val="22"/>
              </w:rPr>
              <w:t>3</w:t>
            </w:r>
            <w:r w:rsidRPr="005A18F0">
              <w:rPr>
                <w:b/>
                <w:bCs/>
                <w:sz w:val="22"/>
                <w:szCs w:val="22"/>
              </w:rPr>
              <w:fldChar w:fldCharType="end"/>
            </w:r>
          </w:sdtContent>
        </w:sdt>
      </w:sdtContent>
    </w:sdt>
  </w:p>
  <w:p w14:paraId="787BC1B7" w14:textId="7D30AF9F" w:rsidR="00BC3BF6" w:rsidRPr="005A18F0" w:rsidRDefault="00BC3BF6" w:rsidP="005A18F0">
    <w:pPr>
      <w:ind w:right="954"/>
      <w:jc w:val="right"/>
      <w:rPr>
        <w:sz w:val="22"/>
        <w:szCs w:val="22"/>
      </w:rPr>
    </w:pPr>
    <w:r w:rsidRPr="005A18F0">
      <w:rPr>
        <w:sz w:val="22"/>
        <w:szCs w:val="22"/>
      </w:rPr>
      <w:t>Questions and Answers</w:t>
    </w:r>
    <w:r w:rsidRPr="005A18F0" w:rsidDel="00BC3BF6">
      <w:rPr>
        <w:sz w:val="22"/>
        <w:szCs w:val="22"/>
      </w:rPr>
      <w:t xml:space="preserve"> </w:t>
    </w:r>
  </w:p>
  <w:p w14:paraId="69DAD14A" w14:textId="6DABB19E" w:rsidR="00093C4F" w:rsidRPr="001478F6" w:rsidRDefault="00093C4F" w:rsidP="001478F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C8AF" w14:textId="77777777" w:rsidR="00093C4F" w:rsidRDefault="00093C4F" w:rsidP="008B0D31">
      <w:r>
        <w:separator/>
      </w:r>
    </w:p>
  </w:footnote>
  <w:footnote w:type="continuationSeparator" w:id="0">
    <w:p w14:paraId="4BA5578A" w14:textId="77777777" w:rsidR="00093C4F" w:rsidRDefault="00093C4F" w:rsidP="008B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F464" w14:textId="77777777" w:rsidR="00BC3BF6" w:rsidRPr="005A18F0" w:rsidRDefault="00BC3BF6" w:rsidP="00BC3BF6">
    <w:pPr>
      <w:spacing w:after="60"/>
      <w:jc w:val="center"/>
      <w:rPr>
        <w:rFonts w:cs="Arial"/>
        <w:sz w:val="22"/>
        <w:szCs w:val="22"/>
      </w:rPr>
    </w:pPr>
    <w:r w:rsidRPr="005A18F0">
      <w:rPr>
        <w:rFonts w:cs="Arial"/>
        <w:sz w:val="22"/>
        <w:szCs w:val="22"/>
      </w:rPr>
      <w:t>New York State Department of Taxation and Finance</w:t>
    </w:r>
  </w:p>
  <w:p w14:paraId="4FBB785E" w14:textId="77777777" w:rsidR="00BC3BF6" w:rsidRPr="005A18F0" w:rsidRDefault="00BC3BF6" w:rsidP="00BC3BF6">
    <w:pPr>
      <w:spacing w:after="60"/>
      <w:jc w:val="center"/>
      <w:rPr>
        <w:rFonts w:cs="Arial"/>
        <w:sz w:val="22"/>
        <w:szCs w:val="22"/>
      </w:rPr>
    </w:pPr>
    <w:r w:rsidRPr="005A18F0">
      <w:rPr>
        <w:rFonts w:cs="Arial"/>
        <w:sz w:val="22"/>
        <w:szCs w:val="22"/>
      </w:rPr>
      <w:t>Invitation for Bids #22-201</w:t>
    </w:r>
  </w:p>
  <w:p w14:paraId="66059865" w14:textId="77777777" w:rsidR="00BC3BF6" w:rsidRPr="005A18F0" w:rsidRDefault="00BC3BF6" w:rsidP="00BC3BF6">
    <w:pPr>
      <w:spacing w:after="60"/>
      <w:jc w:val="center"/>
      <w:rPr>
        <w:rFonts w:cs="Arial"/>
        <w:sz w:val="22"/>
        <w:szCs w:val="22"/>
      </w:rPr>
    </w:pPr>
    <w:r w:rsidRPr="005A18F0">
      <w:rPr>
        <w:rFonts w:cs="Arial"/>
        <w:sz w:val="22"/>
        <w:szCs w:val="22"/>
      </w:rPr>
      <w:t>National Change of Address (NCOA) and NIXIE Mail Processing Services</w:t>
    </w:r>
  </w:p>
  <w:p w14:paraId="41E84CD3" w14:textId="06475D10" w:rsidR="00A173D6" w:rsidRPr="000907B0" w:rsidRDefault="00A173D6" w:rsidP="00A173D6">
    <w:pPr>
      <w:spacing w:after="60"/>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E8C"/>
    <w:multiLevelType w:val="multilevel"/>
    <w:tmpl w:val="78F2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0216E"/>
    <w:multiLevelType w:val="multilevel"/>
    <w:tmpl w:val="3D904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913A1"/>
    <w:multiLevelType w:val="multilevel"/>
    <w:tmpl w:val="8DD6EFD6"/>
    <w:lvl w:ilvl="0">
      <w:start w:val="9"/>
      <w:numFmt w:val="decimal"/>
      <w:lvlText w:val="%1"/>
      <w:lvlJc w:val="left"/>
      <w:pPr>
        <w:ind w:left="360" w:hanging="360"/>
      </w:pPr>
      <w:rPr>
        <w:rFonts w:hint="default"/>
        <w:i w:val="0"/>
      </w:rPr>
    </w:lvl>
    <w:lvl w:ilvl="1">
      <w:start w:val="1"/>
      <w:numFmt w:val="decimal"/>
      <w:lvlText w:val="%1.%2"/>
      <w:lvlJc w:val="left"/>
      <w:pPr>
        <w:ind w:left="1080" w:hanging="360"/>
      </w:pPr>
      <w:rPr>
        <w:rFonts w:hint="default"/>
        <w:b/>
        <w:bCs/>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3" w15:restartNumberingAfterBreak="0">
    <w:nsid w:val="16767166"/>
    <w:multiLevelType w:val="hybridMultilevel"/>
    <w:tmpl w:val="D0AE426C"/>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2E0FE1"/>
    <w:multiLevelType w:val="hybridMultilevel"/>
    <w:tmpl w:val="A0B03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CF68DB"/>
    <w:multiLevelType w:val="multilevel"/>
    <w:tmpl w:val="A1CA5D9E"/>
    <w:lvl w:ilvl="0">
      <w:start w:val="1"/>
      <w:numFmt w:val="lowerLetter"/>
      <w:lvlText w:val="%1."/>
      <w:lvlJc w:val="left"/>
      <w:pPr>
        <w:tabs>
          <w:tab w:val="num" w:pos="720"/>
        </w:tabs>
        <w:ind w:left="720" w:hanging="360"/>
      </w:pPr>
      <w:rPr>
        <w:rFonts w:ascii="Arial" w:eastAsia="Calibri" w:hAnsi="Arial"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E31092"/>
    <w:multiLevelType w:val="multilevel"/>
    <w:tmpl w:val="F08A63AC"/>
    <w:lvl w:ilvl="0">
      <w:start w:val="8"/>
      <w:numFmt w:val="decimal"/>
      <w:lvlText w:val="%1."/>
      <w:lvlJc w:val="left"/>
      <w:pPr>
        <w:ind w:left="456" w:hanging="456"/>
      </w:pPr>
      <w:rPr>
        <w:rFonts w:hint="default"/>
        <w:b/>
        <w:i w:val="0"/>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7" w15:restartNumberingAfterBreak="0">
    <w:nsid w:val="2F7601C0"/>
    <w:multiLevelType w:val="hybridMultilevel"/>
    <w:tmpl w:val="D35A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F55CE"/>
    <w:multiLevelType w:val="hybridMultilevel"/>
    <w:tmpl w:val="056E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42466"/>
    <w:multiLevelType w:val="hybridMultilevel"/>
    <w:tmpl w:val="22A221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BD15F2"/>
    <w:multiLevelType w:val="hybridMultilevel"/>
    <w:tmpl w:val="8678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82425"/>
    <w:multiLevelType w:val="hybridMultilevel"/>
    <w:tmpl w:val="5EAA26A6"/>
    <w:lvl w:ilvl="0" w:tplc="F88CD08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A7750"/>
    <w:multiLevelType w:val="multilevel"/>
    <w:tmpl w:val="BE1846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A96307C"/>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76317C"/>
    <w:multiLevelType w:val="hybridMultilevel"/>
    <w:tmpl w:val="F48C5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9105A"/>
    <w:multiLevelType w:val="hybridMultilevel"/>
    <w:tmpl w:val="EC6465DA"/>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BB4520B"/>
    <w:multiLevelType w:val="hybridMultilevel"/>
    <w:tmpl w:val="851E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65B93"/>
    <w:multiLevelType w:val="hybridMultilevel"/>
    <w:tmpl w:val="A0402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E857124"/>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21D458E"/>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A580D5B"/>
    <w:multiLevelType w:val="hybridMultilevel"/>
    <w:tmpl w:val="17E4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7128D8"/>
    <w:multiLevelType w:val="multilevel"/>
    <w:tmpl w:val="89E810F8"/>
    <w:lvl w:ilvl="0">
      <w:start w:val="9"/>
      <w:numFmt w:val="decimal"/>
      <w:lvlText w:val="%1."/>
      <w:lvlJc w:val="left"/>
      <w:pPr>
        <w:ind w:left="456" w:hanging="456"/>
      </w:pPr>
      <w:rPr>
        <w:rFonts w:hint="default"/>
        <w:b/>
        <w:i w:val="0"/>
      </w:rPr>
    </w:lvl>
    <w:lvl w:ilvl="1">
      <w:start w:val="2"/>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22" w15:restartNumberingAfterBreak="0">
    <w:nsid w:val="738D32E7"/>
    <w:multiLevelType w:val="hybridMultilevel"/>
    <w:tmpl w:val="FC4E0860"/>
    <w:lvl w:ilvl="0" w:tplc="EF80B1C2">
      <w:start w:val="1"/>
      <w:numFmt w:val="bullet"/>
      <w:lvlText w:val="–"/>
      <w:lvlJc w:val="left"/>
      <w:pPr>
        <w:ind w:left="1200" w:hanging="360"/>
      </w:pPr>
      <w:rPr>
        <w:rFonts w:ascii="Arial" w:hAnsi="Arial" w:hint="default"/>
        <w:strike w:val="0"/>
      </w:rPr>
    </w:lvl>
    <w:lvl w:ilvl="1" w:tplc="04090003" w:tentative="1">
      <w:start w:val="1"/>
      <w:numFmt w:val="lowerLetter"/>
      <w:lvlText w:val="%2."/>
      <w:lvlJc w:val="left"/>
      <w:pPr>
        <w:ind w:left="1920" w:hanging="360"/>
      </w:pPr>
    </w:lvl>
    <w:lvl w:ilvl="2" w:tplc="04090005" w:tentative="1">
      <w:start w:val="1"/>
      <w:numFmt w:val="lowerRoman"/>
      <w:lvlText w:val="%3."/>
      <w:lvlJc w:val="right"/>
      <w:pPr>
        <w:ind w:left="2640" w:hanging="180"/>
      </w:pPr>
    </w:lvl>
    <w:lvl w:ilvl="3" w:tplc="04090001" w:tentative="1">
      <w:start w:val="1"/>
      <w:numFmt w:val="decimal"/>
      <w:lvlText w:val="%4."/>
      <w:lvlJc w:val="left"/>
      <w:pPr>
        <w:ind w:left="3360" w:hanging="360"/>
      </w:pPr>
    </w:lvl>
    <w:lvl w:ilvl="4" w:tplc="04090003" w:tentative="1">
      <w:start w:val="1"/>
      <w:numFmt w:val="lowerLetter"/>
      <w:lvlText w:val="%5."/>
      <w:lvlJc w:val="left"/>
      <w:pPr>
        <w:ind w:left="4080" w:hanging="360"/>
      </w:pPr>
    </w:lvl>
    <w:lvl w:ilvl="5" w:tplc="04090005" w:tentative="1">
      <w:start w:val="1"/>
      <w:numFmt w:val="lowerRoman"/>
      <w:lvlText w:val="%6."/>
      <w:lvlJc w:val="right"/>
      <w:pPr>
        <w:ind w:left="4800" w:hanging="180"/>
      </w:pPr>
    </w:lvl>
    <w:lvl w:ilvl="6" w:tplc="04090001" w:tentative="1">
      <w:start w:val="1"/>
      <w:numFmt w:val="decimal"/>
      <w:lvlText w:val="%7."/>
      <w:lvlJc w:val="left"/>
      <w:pPr>
        <w:ind w:left="5520" w:hanging="360"/>
      </w:pPr>
    </w:lvl>
    <w:lvl w:ilvl="7" w:tplc="04090003" w:tentative="1">
      <w:start w:val="1"/>
      <w:numFmt w:val="lowerLetter"/>
      <w:lvlText w:val="%8."/>
      <w:lvlJc w:val="left"/>
      <w:pPr>
        <w:ind w:left="6240" w:hanging="360"/>
      </w:pPr>
    </w:lvl>
    <w:lvl w:ilvl="8" w:tplc="04090005" w:tentative="1">
      <w:start w:val="1"/>
      <w:numFmt w:val="lowerRoman"/>
      <w:lvlText w:val="%9."/>
      <w:lvlJc w:val="right"/>
      <w:pPr>
        <w:ind w:left="6960" w:hanging="180"/>
      </w:pPr>
    </w:lvl>
  </w:abstractNum>
  <w:abstractNum w:abstractNumId="23" w15:restartNumberingAfterBreak="0">
    <w:nsid w:val="7D6E432E"/>
    <w:multiLevelType w:val="multilevel"/>
    <w:tmpl w:val="0CD22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3"/>
  </w:num>
  <w:num w:numId="3">
    <w:abstractNumId w:val="22"/>
  </w:num>
  <w:num w:numId="4">
    <w:abstractNumId w:val="15"/>
  </w:num>
  <w:num w:numId="5">
    <w:abstractNumId w:val="12"/>
  </w:num>
  <w:num w:numId="6">
    <w:abstractNumId w:val="21"/>
  </w:num>
  <w:num w:numId="7">
    <w:abstractNumId w:val="6"/>
  </w:num>
  <w:num w:numId="8">
    <w:abstractNumId w:val="2"/>
  </w:num>
  <w:num w:numId="9">
    <w:abstractNumId w:val="1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4"/>
  </w:num>
  <w:num w:numId="18">
    <w:abstractNumId w:val="11"/>
  </w:num>
  <w:num w:numId="19">
    <w:abstractNumId w:val="20"/>
  </w:num>
  <w:num w:numId="20">
    <w:abstractNumId w:val="16"/>
  </w:num>
  <w:num w:numId="21">
    <w:abstractNumId w:val="7"/>
  </w:num>
  <w:num w:numId="22">
    <w:abstractNumId w:val="10"/>
  </w:num>
  <w:num w:numId="23">
    <w:abstractNumId w:val="8"/>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31"/>
    <w:rsid w:val="00021BD9"/>
    <w:rsid w:val="00050FE0"/>
    <w:rsid w:val="00065611"/>
    <w:rsid w:val="00071864"/>
    <w:rsid w:val="000907B0"/>
    <w:rsid w:val="00093C4F"/>
    <w:rsid w:val="000A0482"/>
    <w:rsid w:val="000C3118"/>
    <w:rsid w:val="000C3826"/>
    <w:rsid w:val="000D472E"/>
    <w:rsid w:val="000D6FE1"/>
    <w:rsid w:val="001103DB"/>
    <w:rsid w:val="00120859"/>
    <w:rsid w:val="001216D5"/>
    <w:rsid w:val="00122907"/>
    <w:rsid w:val="00123F66"/>
    <w:rsid w:val="00126149"/>
    <w:rsid w:val="001478F6"/>
    <w:rsid w:val="00153D7B"/>
    <w:rsid w:val="00163E5A"/>
    <w:rsid w:val="0017262D"/>
    <w:rsid w:val="001816AB"/>
    <w:rsid w:val="00183FEC"/>
    <w:rsid w:val="0018461A"/>
    <w:rsid w:val="0019297E"/>
    <w:rsid w:val="00192E4A"/>
    <w:rsid w:val="001A10A3"/>
    <w:rsid w:val="001A57FD"/>
    <w:rsid w:val="001B2EB4"/>
    <w:rsid w:val="001E77B4"/>
    <w:rsid w:val="001E792E"/>
    <w:rsid w:val="001F40A0"/>
    <w:rsid w:val="00200061"/>
    <w:rsid w:val="002061FE"/>
    <w:rsid w:val="002137AF"/>
    <w:rsid w:val="00214F45"/>
    <w:rsid w:val="00226565"/>
    <w:rsid w:val="00230C6F"/>
    <w:rsid w:val="00232DF5"/>
    <w:rsid w:val="00263C94"/>
    <w:rsid w:val="00267225"/>
    <w:rsid w:val="00277A06"/>
    <w:rsid w:val="00285CD0"/>
    <w:rsid w:val="0029250B"/>
    <w:rsid w:val="00295EBD"/>
    <w:rsid w:val="002A5C33"/>
    <w:rsid w:val="002A6D34"/>
    <w:rsid w:val="002A7A23"/>
    <w:rsid w:val="002C2AA6"/>
    <w:rsid w:val="002D3678"/>
    <w:rsid w:val="002F00D4"/>
    <w:rsid w:val="003030B7"/>
    <w:rsid w:val="003129E2"/>
    <w:rsid w:val="00332067"/>
    <w:rsid w:val="003339DF"/>
    <w:rsid w:val="0034171C"/>
    <w:rsid w:val="00346819"/>
    <w:rsid w:val="0035477B"/>
    <w:rsid w:val="00380C0A"/>
    <w:rsid w:val="003932CF"/>
    <w:rsid w:val="003F2A24"/>
    <w:rsid w:val="003F7668"/>
    <w:rsid w:val="00412CAD"/>
    <w:rsid w:val="00434764"/>
    <w:rsid w:val="00442A38"/>
    <w:rsid w:val="00450372"/>
    <w:rsid w:val="004700E6"/>
    <w:rsid w:val="004A6583"/>
    <w:rsid w:val="004D4E09"/>
    <w:rsid w:val="004D6472"/>
    <w:rsid w:val="004E445F"/>
    <w:rsid w:val="004E6674"/>
    <w:rsid w:val="0052196B"/>
    <w:rsid w:val="00527933"/>
    <w:rsid w:val="0053237A"/>
    <w:rsid w:val="00541AF9"/>
    <w:rsid w:val="00546285"/>
    <w:rsid w:val="00550E72"/>
    <w:rsid w:val="00551140"/>
    <w:rsid w:val="00552AEC"/>
    <w:rsid w:val="0056750A"/>
    <w:rsid w:val="005810E8"/>
    <w:rsid w:val="005862EC"/>
    <w:rsid w:val="005900D7"/>
    <w:rsid w:val="005909AB"/>
    <w:rsid w:val="005A0BB8"/>
    <w:rsid w:val="005A18F0"/>
    <w:rsid w:val="005B3E20"/>
    <w:rsid w:val="00617CB5"/>
    <w:rsid w:val="00617DDE"/>
    <w:rsid w:val="006327AC"/>
    <w:rsid w:val="00632EDB"/>
    <w:rsid w:val="00643312"/>
    <w:rsid w:val="006502F1"/>
    <w:rsid w:val="0065436A"/>
    <w:rsid w:val="006550BA"/>
    <w:rsid w:val="00660306"/>
    <w:rsid w:val="00694DC2"/>
    <w:rsid w:val="006C43C7"/>
    <w:rsid w:val="006C790D"/>
    <w:rsid w:val="006D3202"/>
    <w:rsid w:val="00741450"/>
    <w:rsid w:val="00745739"/>
    <w:rsid w:val="00765553"/>
    <w:rsid w:val="0076746E"/>
    <w:rsid w:val="00782846"/>
    <w:rsid w:val="007A445E"/>
    <w:rsid w:val="007A660D"/>
    <w:rsid w:val="007B4D00"/>
    <w:rsid w:val="007C2BF9"/>
    <w:rsid w:val="007C5D55"/>
    <w:rsid w:val="007E0A42"/>
    <w:rsid w:val="007F3C50"/>
    <w:rsid w:val="007F6555"/>
    <w:rsid w:val="00806257"/>
    <w:rsid w:val="00815750"/>
    <w:rsid w:val="00834390"/>
    <w:rsid w:val="008411E6"/>
    <w:rsid w:val="008420E4"/>
    <w:rsid w:val="0084416B"/>
    <w:rsid w:val="00846EFE"/>
    <w:rsid w:val="00867FD2"/>
    <w:rsid w:val="008711CC"/>
    <w:rsid w:val="0088134C"/>
    <w:rsid w:val="00895D38"/>
    <w:rsid w:val="008A04EA"/>
    <w:rsid w:val="008A26F4"/>
    <w:rsid w:val="008B0D31"/>
    <w:rsid w:val="008B1427"/>
    <w:rsid w:val="008E0EA7"/>
    <w:rsid w:val="008E2554"/>
    <w:rsid w:val="008E7C58"/>
    <w:rsid w:val="008F6CBE"/>
    <w:rsid w:val="008F729F"/>
    <w:rsid w:val="009041B3"/>
    <w:rsid w:val="00907151"/>
    <w:rsid w:val="009146F2"/>
    <w:rsid w:val="00923F70"/>
    <w:rsid w:val="00946AD8"/>
    <w:rsid w:val="009567A7"/>
    <w:rsid w:val="00963FF6"/>
    <w:rsid w:val="00967FD6"/>
    <w:rsid w:val="009811D7"/>
    <w:rsid w:val="009B052B"/>
    <w:rsid w:val="009C0F2A"/>
    <w:rsid w:val="00A01791"/>
    <w:rsid w:val="00A173D6"/>
    <w:rsid w:val="00A42C61"/>
    <w:rsid w:val="00A55381"/>
    <w:rsid w:val="00A702AE"/>
    <w:rsid w:val="00A87C6F"/>
    <w:rsid w:val="00AA0ED6"/>
    <w:rsid w:val="00AA350D"/>
    <w:rsid w:val="00AA756E"/>
    <w:rsid w:val="00AB07D9"/>
    <w:rsid w:val="00AB41C4"/>
    <w:rsid w:val="00AB450E"/>
    <w:rsid w:val="00AD0AEE"/>
    <w:rsid w:val="00AF3BC9"/>
    <w:rsid w:val="00B01A2B"/>
    <w:rsid w:val="00B02B0D"/>
    <w:rsid w:val="00B07FE7"/>
    <w:rsid w:val="00B101FB"/>
    <w:rsid w:val="00B202E9"/>
    <w:rsid w:val="00B30439"/>
    <w:rsid w:val="00B355A7"/>
    <w:rsid w:val="00B356A5"/>
    <w:rsid w:val="00B37105"/>
    <w:rsid w:val="00B537A7"/>
    <w:rsid w:val="00B935B4"/>
    <w:rsid w:val="00BC141F"/>
    <w:rsid w:val="00BC3BF6"/>
    <w:rsid w:val="00BC7AB7"/>
    <w:rsid w:val="00BD2C79"/>
    <w:rsid w:val="00BF26AD"/>
    <w:rsid w:val="00BF341E"/>
    <w:rsid w:val="00BF4089"/>
    <w:rsid w:val="00C418A7"/>
    <w:rsid w:val="00C538B4"/>
    <w:rsid w:val="00C54B58"/>
    <w:rsid w:val="00C715E2"/>
    <w:rsid w:val="00C71F43"/>
    <w:rsid w:val="00C732B2"/>
    <w:rsid w:val="00C82D00"/>
    <w:rsid w:val="00CD375C"/>
    <w:rsid w:val="00CF7D0F"/>
    <w:rsid w:val="00D11EB1"/>
    <w:rsid w:val="00D30A17"/>
    <w:rsid w:val="00D43710"/>
    <w:rsid w:val="00D538CF"/>
    <w:rsid w:val="00D619E3"/>
    <w:rsid w:val="00D9070A"/>
    <w:rsid w:val="00D90B6F"/>
    <w:rsid w:val="00D91422"/>
    <w:rsid w:val="00DA2132"/>
    <w:rsid w:val="00DA5A04"/>
    <w:rsid w:val="00DC1950"/>
    <w:rsid w:val="00DC68F7"/>
    <w:rsid w:val="00DD1A7A"/>
    <w:rsid w:val="00DD4FB4"/>
    <w:rsid w:val="00DD5340"/>
    <w:rsid w:val="00DD591A"/>
    <w:rsid w:val="00DE3D85"/>
    <w:rsid w:val="00E00934"/>
    <w:rsid w:val="00E02B12"/>
    <w:rsid w:val="00E03FB9"/>
    <w:rsid w:val="00E07450"/>
    <w:rsid w:val="00E24A82"/>
    <w:rsid w:val="00E269FA"/>
    <w:rsid w:val="00E31EC7"/>
    <w:rsid w:val="00E5282D"/>
    <w:rsid w:val="00E62F25"/>
    <w:rsid w:val="00E73869"/>
    <w:rsid w:val="00E76021"/>
    <w:rsid w:val="00E7725A"/>
    <w:rsid w:val="00E7733E"/>
    <w:rsid w:val="00E9626D"/>
    <w:rsid w:val="00EB2373"/>
    <w:rsid w:val="00EB6912"/>
    <w:rsid w:val="00ED053E"/>
    <w:rsid w:val="00EE23F1"/>
    <w:rsid w:val="00F2091B"/>
    <w:rsid w:val="00F2571C"/>
    <w:rsid w:val="00F26534"/>
    <w:rsid w:val="00F8350F"/>
    <w:rsid w:val="00F8499B"/>
    <w:rsid w:val="00FA5FE5"/>
    <w:rsid w:val="00FB6F1D"/>
    <w:rsid w:val="00FD7715"/>
    <w:rsid w:val="00FF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569A5E5D"/>
  <w15:chartTrackingRefBased/>
  <w15:docId w15:val="{983BD009-98FF-4F68-8300-698A7B65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31"/>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uiPriority w:val="1"/>
    <w:qFormat/>
    <w:rsid w:val="008B0D31"/>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5909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Alt Header"/>
    <w:basedOn w:val="Normal"/>
    <w:link w:val="HeaderChar"/>
    <w:unhideWhenUsed/>
    <w:rsid w:val="008B0D31"/>
    <w:pPr>
      <w:tabs>
        <w:tab w:val="center" w:pos="4680"/>
        <w:tab w:val="right" w:pos="9360"/>
      </w:tabs>
    </w:pPr>
  </w:style>
  <w:style w:type="character" w:customStyle="1" w:styleId="HeaderChar">
    <w:name w:val="Header Char"/>
    <w:aliases w:val="Alt Header Char"/>
    <w:basedOn w:val="DefaultParagraphFont"/>
    <w:link w:val="Header"/>
    <w:rsid w:val="008B0D31"/>
    <w:rPr>
      <w:rFonts w:ascii="Arial" w:eastAsia="Times New Roman" w:hAnsi="Arial" w:cs="Times New Roman"/>
      <w:sz w:val="24"/>
      <w:szCs w:val="24"/>
    </w:rPr>
  </w:style>
  <w:style w:type="paragraph" w:styleId="Footer">
    <w:name w:val="footer"/>
    <w:basedOn w:val="Normal"/>
    <w:link w:val="FooterChar"/>
    <w:uiPriority w:val="99"/>
    <w:unhideWhenUsed/>
    <w:rsid w:val="008B0D31"/>
    <w:pPr>
      <w:tabs>
        <w:tab w:val="center" w:pos="4680"/>
        <w:tab w:val="right" w:pos="9360"/>
      </w:tabs>
    </w:pPr>
  </w:style>
  <w:style w:type="character" w:customStyle="1" w:styleId="FooterChar">
    <w:name w:val="Footer Char"/>
    <w:basedOn w:val="DefaultParagraphFont"/>
    <w:link w:val="Footer"/>
    <w:uiPriority w:val="99"/>
    <w:rsid w:val="008B0D31"/>
    <w:rPr>
      <w:rFonts w:ascii="Arial" w:eastAsia="Times New Roman" w:hAnsi="Arial" w:cs="Times New Roman"/>
      <w:sz w:val="24"/>
      <w:szCs w:val="24"/>
    </w:rPr>
  </w:style>
  <w:style w:type="paragraph" w:styleId="ListParagraph">
    <w:name w:val="List Paragraph"/>
    <w:basedOn w:val="Normal"/>
    <w:link w:val="ListParagraphChar"/>
    <w:uiPriority w:val="1"/>
    <w:qFormat/>
    <w:rsid w:val="008B0D31"/>
    <w:pPr>
      <w:spacing w:after="200" w:line="276" w:lineRule="auto"/>
      <w:ind w:left="720"/>
    </w:pPr>
    <w:rPr>
      <w:rFonts w:ascii="Calibri" w:eastAsia="Calibri" w:hAnsi="Calibri"/>
      <w:sz w:val="22"/>
      <w:szCs w:val="22"/>
    </w:r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8B0D31"/>
    <w:rPr>
      <w:rFonts w:ascii="Cambria" w:eastAsia="Times New Roman" w:hAnsi="Cambria" w:cs="Times New Roman"/>
      <w:b/>
      <w:bCs/>
      <w:kern w:val="32"/>
      <w:sz w:val="32"/>
      <w:szCs w:val="32"/>
      <w:lang w:val="x-none" w:eastAsia="x-none"/>
    </w:rPr>
  </w:style>
  <w:style w:type="paragraph" w:styleId="BalloonText">
    <w:name w:val="Balloon Text"/>
    <w:basedOn w:val="Normal"/>
    <w:link w:val="BalloonTextChar"/>
    <w:uiPriority w:val="99"/>
    <w:semiHidden/>
    <w:unhideWhenUsed/>
    <w:rsid w:val="00183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EC"/>
    <w:rPr>
      <w:rFonts w:ascii="Segoe UI" w:eastAsia="Times New Roman" w:hAnsi="Segoe UI" w:cs="Segoe UI"/>
      <w:sz w:val="18"/>
      <w:szCs w:val="18"/>
    </w:rPr>
  </w:style>
  <w:style w:type="paragraph" w:customStyle="1" w:styleId="TableParagraph">
    <w:name w:val="Table Paragraph"/>
    <w:basedOn w:val="Normal"/>
    <w:uiPriority w:val="1"/>
    <w:qFormat/>
    <w:rsid w:val="00CF7D0F"/>
    <w:pPr>
      <w:widowControl w:val="0"/>
    </w:pPr>
    <w:rPr>
      <w:rFonts w:ascii="Calibri" w:eastAsia="Calibri" w:hAnsi="Calibri"/>
      <w:sz w:val="22"/>
      <w:szCs w:val="22"/>
    </w:rPr>
  </w:style>
  <w:style w:type="table" w:customStyle="1" w:styleId="TableGrid1">
    <w:name w:val="Table Grid1"/>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541AF9"/>
    <w:rPr>
      <w:sz w:val="16"/>
      <w:szCs w:val="16"/>
    </w:rPr>
  </w:style>
  <w:style w:type="paragraph" w:styleId="CommentText">
    <w:name w:val="annotation text"/>
    <w:basedOn w:val="Normal"/>
    <w:link w:val="CommentTextChar"/>
    <w:uiPriority w:val="99"/>
    <w:semiHidden/>
    <w:unhideWhenUsed/>
    <w:rsid w:val="00541AF9"/>
    <w:rPr>
      <w:sz w:val="20"/>
      <w:szCs w:val="20"/>
    </w:rPr>
  </w:style>
  <w:style w:type="character" w:customStyle="1" w:styleId="CommentTextChar">
    <w:name w:val="Comment Text Char"/>
    <w:basedOn w:val="DefaultParagraphFont"/>
    <w:link w:val="CommentText"/>
    <w:uiPriority w:val="99"/>
    <w:semiHidden/>
    <w:rsid w:val="00541AF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41AF9"/>
    <w:rPr>
      <w:b/>
      <w:bCs/>
    </w:rPr>
  </w:style>
  <w:style w:type="character" w:customStyle="1" w:styleId="CommentSubjectChar">
    <w:name w:val="Comment Subject Char"/>
    <w:basedOn w:val="CommentTextChar"/>
    <w:link w:val="CommentSubject"/>
    <w:uiPriority w:val="99"/>
    <w:semiHidden/>
    <w:rsid w:val="00541AF9"/>
    <w:rPr>
      <w:rFonts w:ascii="Arial" w:eastAsia="Times New Roman" w:hAnsi="Arial" w:cs="Times New Roman"/>
      <w:b/>
      <w:bCs/>
      <w:sz w:val="20"/>
      <w:szCs w:val="20"/>
    </w:rPr>
  </w:style>
  <w:style w:type="table" w:customStyle="1" w:styleId="TableGrid4">
    <w:name w:val="Table Grid4"/>
    <w:basedOn w:val="TableNormal"/>
    <w:next w:val="TableGrid"/>
    <w:uiPriority w:val="59"/>
    <w:rsid w:val="00B01A2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F40A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4DC2"/>
    <w:pPr>
      <w:spacing w:after="0" w:line="240" w:lineRule="auto"/>
    </w:pPr>
    <w:rPr>
      <w:rFonts w:ascii="Arial" w:eastAsia="Times New Roman" w:hAnsi="Arial" w:cs="Times New Roman"/>
      <w:sz w:val="24"/>
      <w:szCs w:val="24"/>
    </w:rPr>
  </w:style>
  <w:style w:type="character" w:customStyle="1" w:styleId="Heading2Char">
    <w:name w:val="Heading 2 Char"/>
    <w:aliases w:val="Char Char"/>
    <w:basedOn w:val="DefaultParagraphFont"/>
    <w:link w:val="Heading2"/>
    <w:uiPriority w:val="9"/>
    <w:rsid w:val="005909AB"/>
    <w:rPr>
      <w:rFonts w:asciiTheme="majorHAnsi" w:eastAsiaTheme="majorEastAsia" w:hAnsiTheme="majorHAnsi" w:cstheme="majorBidi"/>
      <w:color w:val="365F91" w:themeColor="accent1" w:themeShade="BF"/>
      <w:sz w:val="26"/>
      <w:szCs w:val="26"/>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35477B"/>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35477B"/>
    <w:rPr>
      <w:rFonts w:ascii="Times New Roman" w:eastAsia="Times New Roman" w:hAnsi="Times New Roman" w:cs="Times New Roman"/>
      <w:sz w:val="24"/>
      <w:szCs w:val="20"/>
      <w:lang w:val="x-none" w:eastAsia="x-none"/>
    </w:rPr>
  </w:style>
  <w:style w:type="character" w:styleId="Hyperlink">
    <w:name w:val="Hyperlink"/>
    <w:basedOn w:val="DefaultParagraphFont"/>
    <w:uiPriority w:val="99"/>
    <w:unhideWhenUsed/>
    <w:rsid w:val="00AF3BC9"/>
    <w:rPr>
      <w:color w:val="0000FF" w:themeColor="hyperlink"/>
      <w:u w:val="single"/>
    </w:rPr>
  </w:style>
  <w:style w:type="character" w:styleId="UnresolvedMention">
    <w:name w:val="Unresolved Mention"/>
    <w:basedOn w:val="DefaultParagraphFont"/>
    <w:uiPriority w:val="99"/>
    <w:semiHidden/>
    <w:unhideWhenUsed/>
    <w:rsid w:val="00AF3BC9"/>
    <w:rPr>
      <w:color w:val="605E5C"/>
      <w:shd w:val="clear" w:color="auto" w:fill="E1DFDD"/>
    </w:rPr>
  </w:style>
  <w:style w:type="character" w:styleId="FollowedHyperlink">
    <w:name w:val="FollowedHyperlink"/>
    <w:basedOn w:val="DefaultParagraphFont"/>
    <w:uiPriority w:val="99"/>
    <w:semiHidden/>
    <w:unhideWhenUsed/>
    <w:rsid w:val="00AF3BC9"/>
    <w:rPr>
      <w:color w:val="800080" w:themeColor="followedHyperlink"/>
      <w:u w:val="single"/>
    </w:rPr>
  </w:style>
  <w:style w:type="character" w:customStyle="1" w:styleId="ListParagraphChar">
    <w:name w:val="List Paragraph Char"/>
    <w:basedOn w:val="DefaultParagraphFont"/>
    <w:link w:val="ListParagraph"/>
    <w:uiPriority w:val="1"/>
    <w:locked/>
    <w:rsid w:val="00617DDE"/>
    <w:rPr>
      <w:rFonts w:ascii="Calibri" w:eastAsia="Calibri" w:hAnsi="Calibri" w:cs="Times New Roman"/>
    </w:rPr>
  </w:style>
  <w:style w:type="paragraph" w:styleId="PlainText">
    <w:name w:val="Plain Text"/>
    <w:basedOn w:val="Normal"/>
    <w:link w:val="PlainTextChar"/>
    <w:rsid w:val="00C71F43"/>
    <w:rPr>
      <w:rFonts w:ascii="Times New Roman" w:eastAsia="MS Mincho" w:hAnsi="Times New Roman"/>
      <w:sz w:val="20"/>
      <w:szCs w:val="20"/>
    </w:rPr>
  </w:style>
  <w:style w:type="character" w:customStyle="1" w:styleId="PlainTextChar">
    <w:name w:val="Plain Text Char"/>
    <w:basedOn w:val="DefaultParagraphFont"/>
    <w:link w:val="PlainText"/>
    <w:rsid w:val="00C71F43"/>
    <w:rPr>
      <w:rFonts w:ascii="Times New Roman" w:eastAsia="MS Mincho" w:hAnsi="Times New Roman" w:cs="Times New Roman"/>
      <w:sz w:val="20"/>
      <w:szCs w:val="20"/>
    </w:rPr>
  </w:style>
  <w:style w:type="paragraph" w:customStyle="1" w:styleId="AnswerLevel2">
    <w:name w:val="Answer Level 2"/>
    <w:link w:val="AnswerLevel2CharChar"/>
    <w:rsid w:val="00C71F43"/>
    <w:pPr>
      <w:spacing w:after="0" w:line="240" w:lineRule="auto"/>
      <w:ind w:left="720"/>
    </w:pPr>
    <w:rPr>
      <w:rFonts w:ascii="Times New Roman" w:eastAsia="Times New Roman" w:hAnsi="Times New Roman" w:cs="Times New Roman"/>
      <w:kern w:val="20"/>
      <w:sz w:val="24"/>
      <w:szCs w:val="20"/>
    </w:rPr>
  </w:style>
  <w:style w:type="character" w:customStyle="1" w:styleId="AnswerLevel2CharChar">
    <w:name w:val="Answer Level 2 Char Char"/>
    <w:link w:val="AnswerLevel2"/>
    <w:rsid w:val="00C71F43"/>
    <w:rPr>
      <w:rFonts w:ascii="Times New Roman" w:eastAsia="Times New Roman" w:hAnsi="Times New Roman" w:cs="Times New Roman"/>
      <w:kern w:val="20"/>
      <w:sz w:val="24"/>
      <w:szCs w:val="20"/>
    </w:rPr>
  </w:style>
  <w:style w:type="paragraph" w:customStyle="1" w:styleId="Default">
    <w:name w:val="Default"/>
    <w:rsid w:val="00C71F4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msonormal">
    <w:name w:val="x_msonormal"/>
    <w:basedOn w:val="Normal"/>
    <w:rsid w:val="00C71F4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2378">
      <w:bodyDiv w:val="1"/>
      <w:marLeft w:val="0"/>
      <w:marRight w:val="0"/>
      <w:marTop w:val="0"/>
      <w:marBottom w:val="0"/>
      <w:divBdr>
        <w:top w:val="none" w:sz="0" w:space="0" w:color="auto"/>
        <w:left w:val="none" w:sz="0" w:space="0" w:color="auto"/>
        <w:bottom w:val="none" w:sz="0" w:space="0" w:color="auto"/>
        <w:right w:val="none" w:sz="0" w:space="0" w:color="auto"/>
      </w:divBdr>
    </w:div>
    <w:div w:id="225838930">
      <w:bodyDiv w:val="1"/>
      <w:marLeft w:val="0"/>
      <w:marRight w:val="0"/>
      <w:marTop w:val="0"/>
      <w:marBottom w:val="0"/>
      <w:divBdr>
        <w:top w:val="none" w:sz="0" w:space="0" w:color="auto"/>
        <w:left w:val="none" w:sz="0" w:space="0" w:color="auto"/>
        <w:bottom w:val="none" w:sz="0" w:space="0" w:color="auto"/>
        <w:right w:val="none" w:sz="0" w:space="0" w:color="auto"/>
      </w:divBdr>
    </w:div>
    <w:div w:id="483008252">
      <w:bodyDiv w:val="1"/>
      <w:marLeft w:val="0"/>
      <w:marRight w:val="0"/>
      <w:marTop w:val="0"/>
      <w:marBottom w:val="0"/>
      <w:divBdr>
        <w:top w:val="none" w:sz="0" w:space="0" w:color="auto"/>
        <w:left w:val="none" w:sz="0" w:space="0" w:color="auto"/>
        <w:bottom w:val="none" w:sz="0" w:space="0" w:color="auto"/>
        <w:right w:val="none" w:sz="0" w:space="0" w:color="auto"/>
      </w:divBdr>
    </w:div>
    <w:div w:id="1464074750">
      <w:bodyDiv w:val="1"/>
      <w:marLeft w:val="0"/>
      <w:marRight w:val="0"/>
      <w:marTop w:val="0"/>
      <w:marBottom w:val="0"/>
      <w:divBdr>
        <w:top w:val="none" w:sz="0" w:space="0" w:color="auto"/>
        <w:left w:val="none" w:sz="0" w:space="0" w:color="auto"/>
        <w:bottom w:val="none" w:sz="0" w:space="0" w:color="auto"/>
        <w:right w:val="none" w:sz="0" w:space="0" w:color="auto"/>
      </w:divBdr>
    </w:div>
    <w:div w:id="1634943034">
      <w:bodyDiv w:val="1"/>
      <w:marLeft w:val="0"/>
      <w:marRight w:val="0"/>
      <w:marTop w:val="0"/>
      <w:marBottom w:val="0"/>
      <w:divBdr>
        <w:top w:val="none" w:sz="0" w:space="0" w:color="auto"/>
        <w:left w:val="none" w:sz="0" w:space="0" w:color="auto"/>
        <w:bottom w:val="none" w:sz="0" w:space="0" w:color="auto"/>
        <w:right w:val="none" w:sz="0" w:space="0" w:color="auto"/>
      </w:divBdr>
    </w:div>
    <w:div w:id="1655180516">
      <w:bodyDiv w:val="1"/>
      <w:marLeft w:val="0"/>
      <w:marRight w:val="0"/>
      <w:marTop w:val="0"/>
      <w:marBottom w:val="0"/>
      <w:divBdr>
        <w:top w:val="none" w:sz="0" w:space="0" w:color="auto"/>
        <w:left w:val="none" w:sz="0" w:space="0" w:color="auto"/>
        <w:bottom w:val="none" w:sz="0" w:space="0" w:color="auto"/>
        <w:right w:val="none" w:sz="0" w:space="0" w:color="auto"/>
      </w:divBdr>
    </w:div>
    <w:div w:id="17027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D76B-1ED2-4926-9279-A3DD649B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Brownell, Kevin (TAX)</cp:lastModifiedBy>
  <cp:revision>11</cp:revision>
  <cp:lastPrinted>2020-09-16T20:47:00Z</cp:lastPrinted>
  <dcterms:created xsi:type="dcterms:W3CDTF">2022-08-31T14:52:00Z</dcterms:created>
  <dcterms:modified xsi:type="dcterms:W3CDTF">2023-06-22T13:10:00Z</dcterms:modified>
</cp:coreProperties>
</file>