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B5AF8" w14:textId="77777777" w:rsidR="0034755E" w:rsidRDefault="0034755E"/>
    <w:tbl>
      <w:tblPr>
        <w:tblStyle w:val="TableGrid"/>
        <w:tblW w:w="11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2963"/>
        <w:gridCol w:w="3762"/>
      </w:tblGrid>
      <w:tr w:rsidR="00886428" w:rsidRPr="00B82D15" w14:paraId="53220120" w14:textId="77777777" w:rsidTr="00FA0A9A">
        <w:trPr>
          <w:trHeight w:val="1017"/>
          <w:jc w:val="center"/>
        </w:trPr>
        <w:tc>
          <w:tcPr>
            <w:tcW w:w="11131" w:type="dxa"/>
            <w:gridSpan w:val="3"/>
          </w:tcPr>
          <w:p w14:paraId="608DDD45" w14:textId="77777777" w:rsidR="00886428" w:rsidRDefault="00886428" w:rsidP="00FA0A9A">
            <w:pPr>
              <w:ind w:left="733"/>
              <w:rPr>
                <w:i/>
              </w:rPr>
            </w:pPr>
            <w:r>
              <w:rPr>
                <w:i/>
                <w:noProof/>
              </w:rPr>
              <w:drawing>
                <wp:inline distT="0" distB="0" distL="0" distR="0" wp14:anchorId="3F86E47E" wp14:editId="34F88B91">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3D6E7F9A" w14:textId="77777777" w:rsidR="00886428" w:rsidRPr="000772D4" w:rsidRDefault="00886428" w:rsidP="00FA0A9A">
            <w:pPr>
              <w:ind w:left="45"/>
              <w:rPr>
                <w:i/>
              </w:rPr>
            </w:pPr>
          </w:p>
        </w:tc>
      </w:tr>
      <w:tr w:rsidR="00886428" w:rsidRPr="004E21EB" w14:paraId="7C9D67F6" w14:textId="77777777" w:rsidTr="00FA0A9A">
        <w:trPr>
          <w:trHeight w:val="551"/>
          <w:jc w:val="center"/>
        </w:trPr>
        <w:tc>
          <w:tcPr>
            <w:tcW w:w="4406" w:type="dxa"/>
            <w:vAlign w:val="center"/>
          </w:tcPr>
          <w:p w14:paraId="5A91FBB8" w14:textId="77777777" w:rsidR="00886428" w:rsidRDefault="00886428" w:rsidP="00FA0A9A">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14:paraId="2D72AC8B" w14:textId="77777777" w:rsidR="00886428" w:rsidRDefault="00886428" w:rsidP="00FA0A9A">
            <w:pPr>
              <w:spacing w:before="60"/>
              <w:ind w:left="734"/>
              <w:rPr>
                <w:rFonts w:ascii="Proxima Nova Rg" w:hAnsi="Proxima Nova Rg" w:cs="Arial"/>
                <w:b/>
                <w:caps/>
                <w:noProof/>
                <w:sz w:val="20"/>
              </w:rPr>
            </w:pPr>
            <w:r>
              <w:rPr>
                <w:rFonts w:ascii="Proxima Nova Rg" w:hAnsi="Proxima Nova Rg" w:cs="Arial"/>
                <w:b/>
                <w:caps/>
                <w:noProof/>
                <w:sz w:val="20"/>
              </w:rPr>
              <w:t>Procurement Unit</w:t>
            </w:r>
          </w:p>
          <w:p w14:paraId="23521D26" w14:textId="77777777" w:rsidR="00886428" w:rsidRDefault="00886428" w:rsidP="00FA0A9A">
            <w:pPr>
              <w:spacing w:before="60"/>
              <w:ind w:left="734"/>
              <w:rPr>
                <w:rFonts w:ascii="Proxima Nova Rg" w:hAnsi="Proxima Nova Rg" w:cs="Arial"/>
                <w:b/>
                <w:caps/>
                <w:noProof/>
                <w:sz w:val="20"/>
              </w:rPr>
            </w:pPr>
          </w:p>
          <w:p w14:paraId="20350DAD" w14:textId="77777777" w:rsidR="00886428" w:rsidRPr="00352E1A" w:rsidRDefault="00886428" w:rsidP="00FA0A9A">
            <w:pPr>
              <w:spacing w:before="60"/>
              <w:ind w:left="734"/>
              <w:rPr>
                <w:rFonts w:ascii="Proxima Nova Rg" w:hAnsi="Proxima Nova Rg" w:cs="Arial"/>
                <w:b/>
                <w:caps/>
                <w:noProof/>
                <w:sz w:val="20"/>
              </w:rPr>
            </w:pPr>
          </w:p>
        </w:tc>
        <w:tc>
          <w:tcPr>
            <w:tcW w:w="2963" w:type="dxa"/>
            <w:vAlign w:val="center"/>
          </w:tcPr>
          <w:p w14:paraId="2E5A7BA4" w14:textId="77777777" w:rsidR="00886428" w:rsidRPr="004E21EB" w:rsidRDefault="00886428" w:rsidP="00FA0A9A">
            <w:pPr>
              <w:ind w:left="250"/>
              <w:rPr>
                <w:rFonts w:ascii="Proxima Nova Rg" w:hAnsi="Proxima Nova Rg"/>
                <w:noProof/>
              </w:rPr>
            </w:pPr>
          </w:p>
        </w:tc>
        <w:tc>
          <w:tcPr>
            <w:tcW w:w="3762" w:type="dxa"/>
            <w:vAlign w:val="center"/>
          </w:tcPr>
          <w:p w14:paraId="60461B97" w14:textId="77777777" w:rsidR="00886428" w:rsidRPr="004E21EB" w:rsidRDefault="00886428" w:rsidP="00FA0A9A">
            <w:pPr>
              <w:ind w:left="593"/>
              <w:rPr>
                <w:rFonts w:ascii="Proxima Nova Rg" w:hAnsi="Proxima Nova Rg" w:cs="Arial"/>
                <w:caps/>
                <w:noProof/>
                <w:sz w:val="20"/>
              </w:rPr>
            </w:pPr>
          </w:p>
        </w:tc>
      </w:tr>
    </w:tbl>
    <w:p w14:paraId="3DAA4F17" w14:textId="77777777" w:rsidR="00886428" w:rsidRPr="00AF283B" w:rsidRDefault="00661081" w:rsidP="00886428">
      <w:pPr>
        <w:ind w:left="-480"/>
        <w:jc w:val="center"/>
        <w:rPr>
          <w:rFonts w:cs="Arial"/>
          <w:b/>
          <w:sz w:val="26"/>
          <w:szCs w:val="26"/>
        </w:rPr>
      </w:pPr>
      <w:r>
        <w:rPr>
          <w:rFonts w:cs="Arial"/>
          <w:b/>
          <w:sz w:val="26"/>
          <w:szCs w:val="26"/>
        </w:rPr>
        <w:t>July 23</w:t>
      </w:r>
      <w:r w:rsidR="00886428">
        <w:rPr>
          <w:rFonts w:cs="Arial"/>
          <w:b/>
          <w:sz w:val="26"/>
          <w:szCs w:val="26"/>
        </w:rPr>
        <w:t>, 2019</w:t>
      </w:r>
    </w:p>
    <w:p w14:paraId="49A8EF9C" w14:textId="77777777" w:rsidR="00886428" w:rsidRPr="00AF283B" w:rsidRDefault="00886428" w:rsidP="00886428">
      <w:pPr>
        <w:jc w:val="center"/>
        <w:rPr>
          <w:rFonts w:ascii="Times New Roman" w:hAnsi="Times New Roman"/>
          <w:sz w:val="20"/>
          <w:szCs w:val="20"/>
        </w:rPr>
      </w:pPr>
    </w:p>
    <w:p w14:paraId="70FD0DBC" w14:textId="77777777" w:rsidR="00886428" w:rsidRPr="00AF283B" w:rsidRDefault="00057677" w:rsidP="00886428">
      <w:pPr>
        <w:autoSpaceDE w:val="0"/>
        <w:autoSpaceDN w:val="0"/>
        <w:adjustRightInd w:val="0"/>
        <w:ind w:left="-450"/>
        <w:jc w:val="center"/>
        <w:rPr>
          <w:rFonts w:ascii="Calibri" w:eastAsia="Calibri" w:hAnsi="Calibri" w:cs="Calibri"/>
          <w:b/>
          <w:bCs/>
          <w:sz w:val="26"/>
          <w:szCs w:val="26"/>
        </w:rPr>
      </w:pPr>
      <w:r>
        <w:rPr>
          <w:rFonts w:ascii="Calibri" w:eastAsia="Calibri" w:hAnsi="Calibri" w:cs="Calibri"/>
          <w:b/>
          <w:bCs/>
          <w:sz w:val="26"/>
          <w:szCs w:val="26"/>
        </w:rPr>
        <w:t>Invitation for Bids (IFB) 19-200</w:t>
      </w:r>
      <w:r w:rsidR="00886428">
        <w:rPr>
          <w:rFonts w:ascii="Calibri" w:eastAsia="Calibri" w:hAnsi="Calibri" w:cs="Calibri"/>
          <w:b/>
          <w:bCs/>
          <w:sz w:val="26"/>
          <w:szCs w:val="26"/>
        </w:rPr>
        <w:t xml:space="preserve">, </w:t>
      </w:r>
      <w:r>
        <w:rPr>
          <w:rFonts w:ascii="Calibri" w:eastAsia="Calibri" w:hAnsi="Calibri" w:cs="Calibri"/>
          <w:b/>
          <w:bCs/>
          <w:sz w:val="26"/>
          <w:szCs w:val="26"/>
        </w:rPr>
        <w:t>Computer to Plate</w:t>
      </w:r>
    </w:p>
    <w:p w14:paraId="3704CBE0" w14:textId="77777777" w:rsidR="00886428" w:rsidRPr="00AF283B" w:rsidRDefault="00886428" w:rsidP="00886428">
      <w:pPr>
        <w:autoSpaceDE w:val="0"/>
        <w:autoSpaceDN w:val="0"/>
        <w:adjustRightInd w:val="0"/>
        <w:ind w:left="-450"/>
        <w:jc w:val="center"/>
        <w:rPr>
          <w:rFonts w:ascii="Calibri" w:eastAsia="Calibri" w:hAnsi="Calibri" w:cs="Calibri"/>
          <w:b/>
          <w:bCs/>
          <w:sz w:val="26"/>
          <w:szCs w:val="26"/>
        </w:rPr>
      </w:pPr>
      <w:r w:rsidRPr="00AF283B">
        <w:rPr>
          <w:rFonts w:ascii="Calibri" w:eastAsia="Calibri" w:hAnsi="Calibri" w:cs="Calibri"/>
          <w:b/>
          <w:bCs/>
          <w:sz w:val="26"/>
          <w:szCs w:val="26"/>
        </w:rPr>
        <w:t xml:space="preserve">Response to Bidder Questions </w:t>
      </w:r>
    </w:p>
    <w:p w14:paraId="4E0E1D7A" w14:textId="77777777" w:rsidR="00886428" w:rsidRPr="00AF283B" w:rsidRDefault="00886428" w:rsidP="00886428">
      <w:pPr>
        <w:autoSpaceDE w:val="0"/>
        <w:autoSpaceDN w:val="0"/>
        <w:adjustRightInd w:val="0"/>
        <w:jc w:val="center"/>
        <w:rPr>
          <w:rFonts w:ascii="Calibri" w:eastAsia="Calibri" w:hAnsi="Calibri" w:cs="Calibri"/>
          <w:b/>
          <w:bCs/>
          <w:sz w:val="20"/>
          <w:szCs w:val="20"/>
        </w:rPr>
      </w:pPr>
    </w:p>
    <w:p w14:paraId="0E8DA7A4" w14:textId="77777777" w:rsidR="00886428" w:rsidRPr="003117F7" w:rsidRDefault="00886428" w:rsidP="00886428">
      <w:pPr>
        <w:autoSpaceDE w:val="0"/>
        <w:autoSpaceDN w:val="0"/>
        <w:adjustRightInd w:val="0"/>
        <w:rPr>
          <w:rFonts w:ascii="Calibri" w:eastAsia="Calibri" w:hAnsi="Calibri" w:cs="Calibri"/>
        </w:rPr>
      </w:pPr>
      <w:r w:rsidRPr="003117F7">
        <w:rPr>
          <w:rFonts w:ascii="Calibri" w:eastAsia="Calibri" w:hAnsi="Calibri" w:cs="Calibri"/>
        </w:rPr>
        <w:t>To All Potential Bidders:</w:t>
      </w:r>
    </w:p>
    <w:p w14:paraId="6B64FBA4" w14:textId="77777777" w:rsidR="00886428" w:rsidRPr="003117F7" w:rsidRDefault="00886428" w:rsidP="00886428">
      <w:pPr>
        <w:autoSpaceDE w:val="0"/>
        <w:autoSpaceDN w:val="0"/>
        <w:adjustRightInd w:val="0"/>
        <w:rPr>
          <w:rFonts w:ascii="Calibri" w:eastAsia="Calibri" w:hAnsi="Calibri" w:cs="Calibri"/>
        </w:rPr>
      </w:pPr>
    </w:p>
    <w:p w14:paraId="1C16C435" w14:textId="77777777" w:rsidR="00886428" w:rsidRPr="003117F7" w:rsidRDefault="00886428" w:rsidP="00886428">
      <w:pPr>
        <w:autoSpaceDE w:val="0"/>
        <w:autoSpaceDN w:val="0"/>
        <w:adjustRightInd w:val="0"/>
        <w:rPr>
          <w:rFonts w:ascii="Calibri" w:eastAsia="Calibri" w:hAnsi="Calibri" w:cs="Calibri"/>
        </w:rPr>
      </w:pPr>
      <w:r w:rsidRPr="003117F7">
        <w:rPr>
          <w:rFonts w:ascii="Calibri" w:eastAsia="Calibri" w:hAnsi="Calibri" w:cs="Calibri"/>
        </w:rPr>
        <w:t xml:space="preserve">Attached are the </w:t>
      </w:r>
      <w:r>
        <w:rPr>
          <w:rFonts w:ascii="Calibri" w:eastAsia="Calibri" w:hAnsi="Calibri" w:cs="Calibri"/>
        </w:rPr>
        <w:t xml:space="preserve">Department’s responses to </w:t>
      </w:r>
      <w:r w:rsidRPr="003117F7">
        <w:rPr>
          <w:rFonts w:ascii="Calibri" w:eastAsia="Calibri" w:hAnsi="Calibri" w:cs="Calibri"/>
        </w:rPr>
        <w:t xml:space="preserve">Questions </w:t>
      </w:r>
      <w:r>
        <w:rPr>
          <w:rFonts w:ascii="Calibri" w:eastAsia="Calibri" w:hAnsi="Calibri" w:cs="Calibri"/>
        </w:rPr>
        <w:t xml:space="preserve">received </w:t>
      </w:r>
      <w:r w:rsidRPr="003117F7">
        <w:rPr>
          <w:rFonts w:ascii="Calibri" w:eastAsia="Calibri" w:hAnsi="Calibri" w:cs="Calibri"/>
        </w:rPr>
        <w:t>for the above</w:t>
      </w:r>
      <w:r>
        <w:rPr>
          <w:rFonts w:ascii="Calibri" w:eastAsia="Calibri" w:hAnsi="Calibri" w:cs="Calibri"/>
        </w:rPr>
        <w:t xml:space="preserve"> referenced IFB</w:t>
      </w:r>
      <w:r w:rsidRPr="003117F7">
        <w:rPr>
          <w:rFonts w:ascii="Calibri" w:eastAsia="Calibri" w:hAnsi="Calibri" w:cs="Calibri"/>
        </w:rPr>
        <w:t>.</w:t>
      </w:r>
    </w:p>
    <w:p w14:paraId="3071E206" w14:textId="77777777" w:rsidR="00F9669E" w:rsidRDefault="00F9669E"/>
    <w:p w14:paraId="1BF8BF92" w14:textId="77777777" w:rsidR="0034755E" w:rsidRDefault="0034755E"/>
    <w:p w14:paraId="30DA1124" w14:textId="77777777" w:rsidR="0034755E" w:rsidRDefault="0034755E"/>
    <w:p w14:paraId="38D06865" w14:textId="77777777" w:rsidR="0034755E" w:rsidRDefault="0034755E"/>
    <w:p w14:paraId="2E41CE1F" w14:textId="77777777" w:rsidR="0034755E" w:rsidRDefault="0034755E">
      <w:r>
        <w:br w:type="page"/>
      </w:r>
    </w:p>
    <w:p w14:paraId="2D8D5687" w14:textId="77777777" w:rsidR="0034755E" w:rsidRDefault="0034755E">
      <w:pPr>
        <w:sectPr w:rsidR="0034755E">
          <w:headerReference w:type="default" r:id="rId9"/>
          <w:pgSz w:w="12240" w:h="15840"/>
          <w:pgMar w:top="1440" w:right="1440" w:bottom="1440" w:left="1440" w:header="720" w:footer="720" w:gutter="0"/>
          <w:cols w:space="720"/>
          <w:docGrid w:linePitch="360"/>
        </w:sectPr>
      </w:pPr>
    </w:p>
    <w:p w14:paraId="223D35A9" w14:textId="77777777" w:rsidR="0034755E" w:rsidRDefault="0034755E"/>
    <w:tbl>
      <w:tblPr>
        <w:tblW w:w="13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0"/>
        <w:gridCol w:w="6395"/>
        <w:gridCol w:w="6289"/>
      </w:tblGrid>
      <w:tr w:rsidR="0034755E" w:rsidRPr="00917A57" w14:paraId="24F5CD4D" w14:textId="77777777" w:rsidTr="00FA0A9A">
        <w:trPr>
          <w:trHeight w:val="268"/>
          <w:tblHeader/>
        </w:trPr>
        <w:tc>
          <w:tcPr>
            <w:tcW w:w="980" w:type="dxa"/>
            <w:shd w:val="pct20" w:color="auto" w:fill="auto"/>
          </w:tcPr>
          <w:p w14:paraId="21406C36" w14:textId="77777777" w:rsidR="0034755E" w:rsidRPr="00917A57" w:rsidRDefault="0034755E" w:rsidP="00FA0A9A">
            <w:pPr>
              <w:jc w:val="center"/>
              <w:rPr>
                <w:rFonts w:cstheme="minorHAnsi"/>
                <w:b/>
              </w:rPr>
            </w:pPr>
            <w:r w:rsidRPr="00917A57">
              <w:rPr>
                <w:rFonts w:cstheme="minorHAnsi"/>
                <w:b/>
              </w:rPr>
              <w:t>#</w:t>
            </w:r>
          </w:p>
        </w:tc>
        <w:tc>
          <w:tcPr>
            <w:tcW w:w="6395" w:type="dxa"/>
            <w:shd w:val="pct20" w:color="auto" w:fill="auto"/>
          </w:tcPr>
          <w:p w14:paraId="3F8428F6" w14:textId="77777777" w:rsidR="0034755E" w:rsidRPr="00917A57" w:rsidRDefault="0034755E" w:rsidP="00FA0A9A">
            <w:pPr>
              <w:jc w:val="center"/>
              <w:rPr>
                <w:rFonts w:cstheme="minorHAnsi"/>
                <w:b/>
              </w:rPr>
            </w:pPr>
            <w:r w:rsidRPr="00917A57">
              <w:rPr>
                <w:rFonts w:cstheme="minorHAnsi"/>
                <w:b/>
              </w:rPr>
              <w:t>Question</w:t>
            </w:r>
          </w:p>
        </w:tc>
        <w:tc>
          <w:tcPr>
            <w:tcW w:w="6289" w:type="dxa"/>
            <w:shd w:val="pct20" w:color="auto" w:fill="auto"/>
          </w:tcPr>
          <w:p w14:paraId="4C243AEF" w14:textId="77777777" w:rsidR="0034755E" w:rsidRPr="00917A57" w:rsidRDefault="0034755E" w:rsidP="00FA0A9A">
            <w:pPr>
              <w:jc w:val="center"/>
              <w:rPr>
                <w:rFonts w:cstheme="minorHAnsi"/>
                <w:b/>
              </w:rPr>
            </w:pPr>
            <w:r>
              <w:rPr>
                <w:rFonts w:cstheme="minorHAnsi"/>
                <w:b/>
              </w:rPr>
              <w:t>Answer</w:t>
            </w:r>
          </w:p>
        </w:tc>
      </w:tr>
      <w:tr w:rsidR="0034755E" w:rsidRPr="006D2E80" w14:paraId="45967F8E" w14:textId="77777777" w:rsidTr="00FA0A9A">
        <w:trPr>
          <w:trHeight w:val="1057"/>
        </w:trPr>
        <w:tc>
          <w:tcPr>
            <w:tcW w:w="980" w:type="dxa"/>
          </w:tcPr>
          <w:p w14:paraId="04D1BAB9" w14:textId="77777777" w:rsidR="0034755E" w:rsidRPr="001953D8" w:rsidRDefault="0034755E" w:rsidP="00FA0A9A">
            <w:pPr>
              <w:jc w:val="center"/>
              <w:rPr>
                <w:rFonts w:cstheme="minorHAnsi"/>
              </w:rPr>
            </w:pPr>
            <w:bookmarkStart w:id="6" w:name="_Hlk14782131"/>
            <w:r w:rsidRPr="001953D8">
              <w:rPr>
                <w:rFonts w:cstheme="minorHAnsi"/>
              </w:rPr>
              <w:t>1</w:t>
            </w:r>
          </w:p>
        </w:tc>
        <w:tc>
          <w:tcPr>
            <w:tcW w:w="6395" w:type="dxa"/>
          </w:tcPr>
          <w:p w14:paraId="7CF50413" w14:textId="77777777" w:rsidR="0034755E" w:rsidRPr="006D2E80" w:rsidRDefault="0034755E" w:rsidP="00FA0A9A">
            <w:pPr>
              <w:rPr>
                <w:rFonts w:ascii="Calibri" w:hAnsi="Calibri" w:cstheme="minorHAnsi"/>
              </w:rPr>
            </w:pPr>
            <w:r w:rsidRPr="000D4A3E">
              <w:t xml:space="preserve">What is the width of the door?  </w:t>
            </w:r>
          </w:p>
        </w:tc>
        <w:tc>
          <w:tcPr>
            <w:tcW w:w="6289" w:type="dxa"/>
          </w:tcPr>
          <w:p w14:paraId="5EAA47EF" w14:textId="3135C68A" w:rsidR="0034755E" w:rsidRPr="006D2E80" w:rsidRDefault="00B3494E" w:rsidP="00FA0A9A">
            <w:pPr>
              <w:rPr>
                <w:rFonts w:ascii="Calibri" w:hAnsi="Calibri"/>
                <w:color w:val="000000"/>
              </w:rPr>
            </w:pPr>
            <w:r>
              <w:t xml:space="preserve">The </w:t>
            </w:r>
            <w:r w:rsidR="00190F4C">
              <w:t xml:space="preserve">double doorway to the room where the new machine will be installed, and the existing machine </w:t>
            </w:r>
            <w:r w:rsidR="000A322E">
              <w:t>will be un-installed</w:t>
            </w:r>
            <w:r w:rsidR="00190F4C">
              <w:t xml:space="preserve"> is</w:t>
            </w:r>
            <w:r w:rsidR="00E0072A">
              <w:t xml:space="preserve"> </w:t>
            </w:r>
            <w:r w:rsidR="0034755E">
              <w:t>71.5 inches</w:t>
            </w:r>
            <w:r w:rsidR="00190F4C">
              <w:t xml:space="preserve"> wide and 83.5 inches tall</w:t>
            </w:r>
            <w:r w:rsidR="0034755E">
              <w:t>.</w:t>
            </w:r>
          </w:p>
        </w:tc>
      </w:tr>
      <w:bookmarkEnd w:id="6"/>
      <w:tr w:rsidR="0034755E" w:rsidRPr="001953D8" w14:paraId="5EB0D131" w14:textId="77777777" w:rsidTr="00FA0A9A">
        <w:trPr>
          <w:trHeight w:val="857"/>
        </w:trPr>
        <w:tc>
          <w:tcPr>
            <w:tcW w:w="980" w:type="dxa"/>
          </w:tcPr>
          <w:p w14:paraId="39A83B5C" w14:textId="77777777" w:rsidR="0034755E" w:rsidRPr="001953D8" w:rsidRDefault="0034755E" w:rsidP="00FA0A9A">
            <w:pPr>
              <w:jc w:val="center"/>
              <w:rPr>
                <w:rFonts w:cstheme="minorHAnsi"/>
              </w:rPr>
            </w:pPr>
            <w:r w:rsidRPr="001953D8">
              <w:rPr>
                <w:rFonts w:cstheme="minorHAnsi"/>
              </w:rPr>
              <w:t>2</w:t>
            </w:r>
          </w:p>
        </w:tc>
        <w:tc>
          <w:tcPr>
            <w:tcW w:w="6395" w:type="dxa"/>
          </w:tcPr>
          <w:p w14:paraId="05FA0AEC" w14:textId="5EB04E2D" w:rsidR="0034755E" w:rsidRPr="001953D8" w:rsidRDefault="0034755E" w:rsidP="00FA0A9A">
            <w:pPr>
              <w:rPr>
                <w:rFonts w:cstheme="minorHAnsi"/>
              </w:rPr>
            </w:pPr>
            <w:r w:rsidRPr="000D4A3E">
              <w:t>Will</w:t>
            </w:r>
            <w:r w:rsidR="005C3326">
              <w:t xml:space="preserve"> Tax</w:t>
            </w:r>
            <w:r w:rsidRPr="000D4A3E">
              <w:t xml:space="preserve"> retain</w:t>
            </w:r>
            <w:r w:rsidR="00CD5821">
              <w:t xml:space="preserve"> the</w:t>
            </w:r>
            <w:r w:rsidRPr="000D4A3E">
              <w:t xml:space="preserve"> current</w:t>
            </w:r>
            <w:r w:rsidR="005C3326">
              <w:t xml:space="preserve"> Raster Image Process</w:t>
            </w:r>
            <w:r w:rsidR="00493AB0">
              <w:t>or</w:t>
            </w:r>
            <w:r w:rsidRPr="000D4A3E">
              <w:t xml:space="preserve"> </w:t>
            </w:r>
            <w:r w:rsidR="00493AB0">
              <w:t>(</w:t>
            </w:r>
            <w:r w:rsidRPr="000D4A3E">
              <w:t>RIP</w:t>
            </w:r>
            <w:r w:rsidR="00493AB0">
              <w:t>)</w:t>
            </w:r>
            <w:r w:rsidRPr="000D4A3E">
              <w:t xml:space="preserve">?  </w:t>
            </w:r>
          </w:p>
        </w:tc>
        <w:tc>
          <w:tcPr>
            <w:tcW w:w="6289" w:type="dxa"/>
          </w:tcPr>
          <w:p w14:paraId="6481B2AF" w14:textId="77777777" w:rsidR="0034755E" w:rsidRPr="001953D8" w:rsidRDefault="0034755E" w:rsidP="00FA0A9A">
            <w:r>
              <w:t xml:space="preserve">Yes, </w:t>
            </w:r>
            <w:r w:rsidRPr="000D4A3E">
              <w:t>SIGNA Station</w:t>
            </w:r>
            <w:r>
              <w:t>.</w:t>
            </w:r>
          </w:p>
        </w:tc>
      </w:tr>
      <w:tr w:rsidR="0034755E" w:rsidRPr="001953D8" w14:paraId="32F2B1A7" w14:textId="77777777" w:rsidTr="00FA0A9A">
        <w:trPr>
          <w:trHeight w:val="857"/>
        </w:trPr>
        <w:tc>
          <w:tcPr>
            <w:tcW w:w="980" w:type="dxa"/>
          </w:tcPr>
          <w:p w14:paraId="40563B0A" w14:textId="77777777" w:rsidR="0034755E" w:rsidRPr="001953D8" w:rsidRDefault="0034755E" w:rsidP="00FA0A9A">
            <w:pPr>
              <w:jc w:val="center"/>
              <w:rPr>
                <w:rFonts w:cstheme="minorHAnsi"/>
              </w:rPr>
            </w:pPr>
            <w:r>
              <w:rPr>
                <w:rFonts w:cstheme="minorHAnsi"/>
              </w:rPr>
              <w:t>3.</w:t>
            </w:r>
          </w:p>
        </w:tc>
        <w:tc>
          <w:tcPr>
            <w:tcW w:w="6395" w:type="dxa"/>
          </w:tcPr>
          <w:p w14:paraId="4723BA3C" w14:textId="0B3280AB" w:rsidR="0034755E" w:rsidRPr="000D4A3E" w:rsidRDefault="0034755E" w:rsidP="00FA0A9A">
            <w:r w:rsidRPr="000D4A3E">
              <w:t xml:space="preserve">Is </w:t>
            </w:r>
            <w:r w:rsidR="00797B88">
              <w:t>t</w:t>
            </w:r>
            <w:r w:rsidR="00493AB0">
              <w:t>he Department’s</w:t>
            </w:r>
            <w:r w:rsidRPr="000D4A3E">
              <w:t xml:space="preserve"> current machine capable of </w:t>
            </w:r>
            <w:proofErr w:type="gramStart"/>
            <w:r w:rsidRPr="000D4A3E">
              <w:t>1 bit</w:t>
            </w:r>
            <w:proofErr w:type="gramEnd"/>
            <w:r w:rsidRPr="000D4A3E">
              <w:t xml:space="preserve"> TIFF?</w:t>
            </w:r>
          </w:p>
        </w:tc>
        <w:tc>
          <w:tcPr>
            <w:tcW w:w="6289" w:type="dxa"/>
          </w:tcPr>
          <w:p w14:paraId="40AC7433" w14:textId="77777777" w:rsidR="0034755E" w:rsidRDefault="0034755E" w:rsidP="00FA0A9A">
            <w:r>
              <w:t>Yes.</w:t>
            </w:r>
          </w:p>
        </w:tc>
      </w:tr>
      <w:tr w:rsidR="0034755E" w:rsidRPr="001953D8" w14:paraId="6AAA4EB6" w14:textId="77777777" w:rsidTr="00FA0A9A">
        <w:trPr>
          <w:trHeight w:val="857"/>
        </w:trPr>
        <w:tc>
          <w:tcPr>
            <w:tcW w:w="980" w:type="dxa"/>
          </w:tcPr>
          <w:p w14:paraId="23962771" w14:textId="77777777" w:rsidR="0034755E" w:rsidRDefault="0034755E" w:rsidP="0034755E">
            <w:pPr>
              <w:jc w:val="center"/>
              <w:rPr>
                <w:rFonts w:cstheme="minorHAnsi"/>
              </w:rPr>
            </w:pPr>
            <w:r>
              <w:rPr>
                <w:rFonts w:cstheme="minorHAnsi"/>
              </w:rPr>
              <w:t>4.</w:t>
            </w:r>
          </w:p>
        </w:tc>
        <w:tc>
          <w:tcPr>
            <w:tcW w:w="6395" w:type="dxa"/>
          </w:tcPr>
          <w:p w14:paraId="5273D05F" w14:textId="4362A352" w:rsidR="0034755E" w:rsidRPr="000D4A3E" w:rsidRDefault="0034755E" w:rsidP="00FA0A9A">
            <w:r w:rsidRPr="000D4A3E">
              <w:t xml:space="preserve">Will </w:t>
            </w:r>
            <w:r w:rsidR="00287B09">
              <w:t>the Bidder</w:t>
            </w:r>
            <w:r w:rsidR="00287B09" w:rsidRPr="000D4A3E">
              <w:t xml:space="preserve"> </w:t>
            </w:r>
            <w:r w:rsidRPr="000D4A3E">
              <w:t xml:space="preserve">be removing </w:t>
            </w:r>
            <w:r w:rsidR="00287B09">
              <w:t xml:space="preserve">the </w:t>
            </w:r>
            <w:r w:rsidRPr="000D4A3E">
              <w:t xml:space="preserve">current machine?  </w:t>
            </w:r>
          </w:p>
        </w:tc>
        <w:tc>
          <w:tcPr>
            <w:tcW w:w="6289" w:type="dxa"/>
          </w:tcPr>
          <w:p w14:paraId="400DC0CD" w14:textId="5C4B93F4" w:rsidR="0034755E" w:rsidRDefault="00C348AF" w:rsidP="00FA0A9A">
            <w:r>
              <w:t>Please see</w:t>
            </w:r>
            <w:r w:rsidR="004376AE">
              <w:t xml:space="preserve"> the IFB</w:t>
            </w:r>
            <w:r w:rsidR="004376AE" w:rsidRPr="009A68A4">
              <w:t>,</w:t>
            </w:r>
            <w:r w:rsidR="00287B09" w:rsidRPr="009A68A4">
              <w:t xml:space="preserve"> Section 1.18.6</w:t>
            </w:r>
            <w:r w:rsidR="00797B88" w:rsidRPr="009A68A4">
              <w:t>, Equipment Trade-In</w:t>
            </w:r>
            <w:r w:rsidRPr="009A68A4">
              <w:t>.</w:t>
            </w:r>
            <w:r w:rsidR="00797B88">
              <w:t xml:space="preserve"> </w:t>
            </w:r>
            <w:r>
              <w:t>T</w:t>
            </w:r>
            <w:r w:rsidR="00287B09" w:rsidRPr="00287B09">
              <w:t>he Contractor will be required to dismantle the</w:t>
            </w:r>
            <w:r>
              <w:t xml:space="preserve"> </w:t>
            </w:r>
            <w:r w:rsidRPr="000A322E">
              <w:rPr>
                <w:color w:val="FF0000"/>
              </w:rPr>
              <w:t>existing</w:t>
            </w:r>
            <w:r w:rsidR="00287B09" w:rsidRPr="00287B09">
              <w:t xml:space="preserve"> equipment and remove it from the Green Island facility, at no charge to the Department.  Removal must be completed before installation of the new equipment, but no earlier than two (2) business days before installation of new equipment.  </w:t>
            </w:r>
            <w:r w:rsidR="00287B09">
              <w:t xml:space="preserve"> T</w:t>
            </w:r>
            <w:r w:rsidR="00DB24D7">
              <w:t>he Department</w:t>
            </w:r>
            <w:r w:rsidR="0034755E" w:rsidRPr="0034755E">
              <w:t xml:space="preserve"> will be keeping</w:t>
            </w:r>
            <w:r w:rsidR="00797B88">
              <w:t xml:space="preserve"> the</w:t>
            </w:r>
            <w:r w:rsidR="0034755E" w:rsidRPr="0034755E">
              <w:t xml:space="preserve"> Processor and Staffer.</w:t>
            </w:r>
          </w:p>
        </w:tc>
      </w:tr>
      <w:tr w:rsidR="0034755E" w:rsidRPr="001953D8" w14:paraId="7057504C" w14:textId="77777777" w:rsidTr="00FA0A9A">
        <w:trPr>
          <w:trHeight w:val="857"/>
        </w:trPr>
        <w:tc>
          <w:tcPr>
            <w:tcW w:w="980" w:type="dxa"/>
          </w:tcPr>
          <w:p w14:paraId="229A9EF2" w14:textId="77777777" w:rsidR="0034755E" w:rsidRPr="0034755E" w:rsidRDefault="0034755E" w:rsidP="0034755E">
            <w:pPr>
              <w:pStyle w:val="ListParagraph"/>
              <w:numPr>
                <w:ilvl w:val="0"/>
                <w:numId w:val="11"/>
              </w:numPr>
              <w:rPr>
                <w:rFonts w:cstheme="minorHAnsi"/>
              </w:rPr>
            </w:pPr>
          </w:p>
        </w:tc>
        <w:tc>
          <w:tcPr>
            <w:tcW w:w="6395" w:type="dxa"/>
          </w:tcPr>
          <w:p w14:paraId="20D062F0" w14:textId="07066476" w:rsidR="0034755E" w:rsidRPr="000D4A3E" w:rsidRDefault="0034755E" w:rsidP="00FA0A9A">
            <w:r w:rsidRPr="0034755E">
              <w:t>What is the serial number of</w:t>
            </w:r>
            <w:r w:rsidR="000858C5">
              <w:t xml:space="preserve"> </w:t>
            </w:r>
            <w:r w:rsidR="00797B88">
              <w:t>the Department’s</w:t>
            </w:r>
            <w:r w:rsidRPr="0034755E">
              <w:t xml:space="preserve"> current machine?  </w:t>
            </w:r>
          </w:p>
        </w:tc>
        <w:tc>
          <w:tcPr>
            <w:tcW w:w="6289" w:type="dxa"/>
          </w:tcPr>
          <w:p w14:paraId="75704D6D" w14:textId="35B95034" w:rsidR="0034755E" w:rsidRDefault="0034755E" w:rsidP="00FA0A9A">
            <w:r w:rsidRPr="000D4A3E">
              <w:t>PP084300149</w:t>
            </w:r>
            <w:r w:rsidR="000858C5">
              <w:t>.</w:t>
            </w:r>
          </w:p>
        </w:tc>
      </w:tr>
      <w:tr w:rsidR="0034755E" w:rsidRPr="001953D8" w14:paraId="6693AC88" w14:textId="77777777" w:rsidTr="00FA0A9A">
        <w:trPr>
          <w:trHeight w:val="857"/>
        </w:trPr>
        <w:tc>
          <w:tcPr>
            <w:tcW w:w="980" w:type="dxa"/>
          </w:tcPr>
          <w:p w14:paraId="60B05DA2" w14:textId="77777777" w:rsidR="0034755E" w:rsidRPr="0034755E" w:rsidRDefault="0034755E" w:rsidP="0034755E">
            <w:pPr>
              <w:pStyle w:val="ListParagraph"/>
              <w:numPr>
                <w:ilvl w:val="0"/>
                <w:numId w:val="11"/>
              </w:numPr>
              <w:rPr>
                <w:rFonts w:cstheme="minorHAnsi"/>
              </w:rPr>
            </w:pPr>
          </w:p>
        </w:tc>
        <w:tc>
          <w:tcPr>
            <w:tcW w:w="6395" w:type="dxa"/>
          </w:tcPr>
          <w:p w14:paraId="6904EA96" w14:textId="77777777" w:rsidR="0034755E" w:rsidRPr="000D4A3E" w:rsidRDefault="0034755E" w:rsidP="00FA0A9A">
            <w:r w:rsidRPr="000D4A3E">
              <w:t xml:space="preserve">Is anything less than 2540 dpi acceptable?  </w:t>
            </w:r>
          </w:p>
        </w:tc>
        <w:tc>
          <w:tcPr>
            <w:tcW w:w="6289" w:type="dxa"/>
          </w:tcPr>
          <w:p w14:paraId="7CA87B6B" w14:textId="7A98CD27" w:rsidR="0034755E" w:rsidRDefault="0034755E" w:rsidP="00FA0A9A">
            <w:r w:rsidRPr="000D4A3E">
              <w:t>No</w:t>
            </w:r>
            <w:r w:rsidR="00C348AF">
              <w:t>.</w:t>
            </w:r>
            <w:r w:rsidR="00190F4C">
              <w:t xml:space="preserve">  </w:t>
            </w:r>
            <w:r w:rsidR="00EF1CFC">
              <w:t xml:space="preserve">Please </w:t>
            </w:r>
            <w:r w:rsidR="00190F4C">
              <w:t xml:space="preserve">refer to </w:t>
            </w:r>
            <w:r w:rsidR="00EF1CFC">
              <w:t>Section</w:t>
            </w:r>
            <w:r w:rsidR="00C348AF">
              <w:t xml:space="preserve"> 1.6.1.1 of the IFB</w:t>
            </w:r>
            <w:r w:rsidR="00190F4C">
              <w:t>.  The</w:t>
            </w:r>
            <w:r w:rsidR="00C348AF">
              <w:t xml:space="preserve"> </w:t>
            </w:r>
            <w:r w:rsidR="00C348AF" w:rsidRPr="00C348AF">
              <w:t xml:space="preserve">system must be a </w:t>
            </w:r>
            <w:proofErr w:type="gramStart"/>
            <w:r w:rsidR="00C348AF" w:rsidRPr="00C348AF">
              <w:t>top quality</w:t>
            </w:r>
            <w:proofErr w:type="gramEnd"/>
            <w:r w:rsidR="00C348AF" w:rsidRPr="00C348AF">
              <w:t xml:space="preserve"> thermal imaging plate setter capable of processing a minimum of 16 full size plates per hour throughput speed @ 2540 dpi with an intuitive user interface.</w:t>
            </w:r>
          </w:p>
        </w:tc>
      </w:tr>
      <w:tr w:rsidR="0034755E" w:rsidRPr="001953D8" w14:paraId="2867FC97" w14:textId="77777777" w:rsidTr="00FA0A9A">
        <w:trPr>
          <w:trHeight w:val="857"/>
        </w:trPr>
        <w:tc>
          <w:tcPr>
            <w:tcW w:w="980" w:type="dxa"/>
          </w:tcPr>
          <w:p w14:paraId="4A4ED691" w14:textId="77777777" w:rsidR="0034755E" w:rsidRPr="0034755E" w:rsidRDefault="0034755E" w:rsidP="0034755E">
            <w:pPr>
              <w:pStyle w:val="ListParagraph"/>
              <w:numPr>
                <w:ilvl w:val="0"/>
                <w:numId w:val="11"/>
              </w:numPr>
              <w:jc w:val="center"/>
              <w:rPr>
                <w:rFonts w:cstheme="minorHAnsi"/>
              </w:rPr>
            </w:pPr>
            <w:bookmarkStart w:id="7" w:name="_Hlk14782250"/>
          </w:p>
        </w:tc>
        <w:tc>
          <w:tcPr>
            <w:tcW w:w="6395" w:type="dxa"/>
          </w:tcPr>
          <w:p w14:paraId="4D8A4780" w14:textId="7C67991F" w:rsidR="0034755E" w:rsidRPr="000D4A3E" w:rsidRDefault="0034755E" w:rsidP="00FA0A9A">
            <w:r w:rsidRPr="000D4A3E">
              <w:t xml:space="preserve">How many plate sizes </w:t>
            </w:r>
            <w:r w:rsidR="004A257A">
              <w:t>does the Department</w:t>
            </w:r>
            <w:r w:rsidRPr="000D4A3E">
              <w:t xml:space="preserve"> run?  </w:t>
            </w:r>
          </w:p>
        </w:tc>
        <w:tc>
          <w:tcPr>
            <w:tcW w:w="6289" w:type="dxa"/>
          </w:tcPr>
          <w:p w14:paraId="4CE5D6A3" w14:textId="328FDAF0" w:rsidR="0034755E" w:rsidRDefault="00190F4C" w:rsidP="00FA0A9A">
            <w:r>
              <w:t>The Department runs six different sized plates in total</w:t>
            </w:r>
            <w:r w:rsidR="000A322E">
              <w:t xml:space="preserve">, one at a time. </w:t>
            </w:r>
            <w:r w:rsidR="0034755E">
              <w:t xml:space="preserve"> </w:t>
            </w:r>
          </w:p>
        </w:tc>
      </w:tr>
      <w:bookmarkEnd w:id="7"/>
      <w:tr w:rsidR="0034755E" w:rsidRPr="001953D8" w14:paraId="030A006F" w14:textId="77777777" w:rsidTr="00FA0A9A">
        <w:trPr>
          <w:trHeight w:val="857"/>
        </w:trPr>
        <w:tc>
          <w:tcPr>
            <w:tcW w:w="980" w:type="dxa"/>
          </w:tcPr>
          <w:p w14:paraId="3851EA5F" w14:textId="77777777" w:rsidR="0034755E" w:rsidRPr="0034755E" w:rsidRDefault="0034755E" w:rsidP="0034755E">
            <w:pPr>
              <w:pStyle w:val="ListParagraph"/>
              <w:numPr>
                <w:ilvl w:val="0"/>
                <w:numId w:val="11"/>
              </w:numPr>
              <w:jc w:val="center"/>
              <w:rPr>
                <w:rFonts w:cstheme="minorHAnsi"/>
              </w:rPr>
            </w:pPr>
          </w:p>
        </w:tc>
        <w:tc>
          <w:tcPr>
            <w:tcW w:w="6395" w:type="dxa"/>
          </w:tcPr>
          <w:p w14:paraId="39991D39" w14:textId="77777777" w:rsidR="0034755E" w:rsidRPr="000D4A3E" w:rsidRDefault="0034755E" w:rsidP="00FA0A9A">
            <w:r w:rsidRPr="000D4A3E">
              <w:t xml:space="preserve">Were the plate sizes provided earlier correct?  </w:t>
            </w:r>
          </w:p>
        </w:tc>
        <w:tc>
          <w:tcPr>
            <w:tcW w:w="6289" w:type="dxa"/>
          </w:tcPr>
          <w:p w14:paraId="4202DDF6" w14:textId="657BC7AF" w:rsidR="0034755E" w:rsidRDefault="00F3785B" w:rsidP="00FA0A9A">
            <w:r>
              <w:t xml:space="preserve">The plate sizes listed in the IFB are correct.  </w:t>
            </w:r>
            <w:r w:rsidR="00EF1CFC">
              <w:t>Please see</w:t>
            </w:r>
            <w:r w:rsidR="00EF1CFC" w:rsidRPr="00EF1CFC">
              <w:t xml:space="preserve"> </w:t>
            </w:r>
            <w:r w:rsidR="00EF1CFC">
              <w:t xml:space="preserve">Section </w:t>
            </w:r>
            <w:r w:rsidR="00EF1CFC" w:rsidRPr="00EF1CFC">
              <w:t>1.6.1.1 of the IFB</w:t>
            </w:r>
            <w:r w:rsidR="00190F4C">
              <w:t xml:space="preserve"> which </w:t>
            </w:r>
            <w:r w:rsidR="0090711A">
              <w:t xml:space="preserve">states the following </w:t>
            </w:r>
            <w:proofErr w:type="gramStart"/>
            <w:r w:rsidR="0090711A">
              <w:t>in regard to</w:t>
            </w:r>
            <w:proofErr w:type="gramEnd"/>
            <w:r w:rsidR="0090711A">
              <w:t xml:space="preserve"> p</w:t>
            </w:r>
            <w:r w:rsidR="00EF1CFC" w:rsidRPr="00EF1CFC">
              <w:t>late format requirements: Must accommodate a minimum of at least 13” x 18” and a maximum of 24 5/8” x 36”.</w:t>
            </w:r>
            <w:bookmarkStart w:id="8" w:name="_GoBack"/>
            <w:bookmarkEnd w:id="8"/>
          </w:p>
        </w:tc>
      </w:tr>
      <w:tr w:rsidR="0034755E" w:rsidRPr="001953D8" w14:paraId="5208CB5F" w14:textId="77777777" w:rsidTr="00FA0A9A">
        <w:trPr>
          <w:trHeight w:val="857"/>
        </w:trPr>
        <w:tc>
          <w:tcPr>
            <w:tcW w:w="980" w:type="dxa"/>
          </w:tcPr>
          <w:p w14:paraId="31BF628A" w14:textId="77777777" w:rsidR="0034755E" w:rsidRPr="0034755E" w:rsidRDefault="0034755E" w:rsidP="0034755E">
            <w:pPr>
              <w:pStyle w:val="ListParagraph"/>
              <w:numPr>
                <w:ilvl w:val="0"/>
                <w:numId w:val="11"/>
              </w:numPr>
              <w:jc w:val="center"/>
              <w:rPr>
                <w:rFonts w:cstheme="minorHAnsi"/>
              </w:rPr>
            </w:pPr>
            <w:bookmarkStart w:id="9" w:name="_Hlk14783140"/>
          </w:p>
        </w:tc>
        <w:tc>
          <w:tcPr>
            <w:tcW w:w="6395" w:type="dxa"/>
          </w:tcPr>
          <w:p w14:paraId="1634152A" w14:textId="2D6A3EA9" w:rsidR="0034755E" w:rsidRPr="000D4A3E" w:rsidRDefault="004A257A" w:rsidP="00FA0A9A">
            <w:r>
              <w:t>Does the Department</w:t>
            </w:r>
            <w:r w:rsidR="0034755E" w:rsidRPr="000D4A3E">
              <w:t xml:space="preserve"> want to keep 16/hour for maximum plate</w:t>
            </w:r>
            <w:r w:rsidR="0034755E">
              <w:t>?</w:t>
            </w:r>
          </w:p>
        </w:tc>
        <w:tc>
          <w:tcPr>
            <w:tcW w:w="6289" w:type="dxa"/>
          </w:tcPr>
          <w:p w14:paraId="671CAC3F" w14:textId="6E631FF8" w:rsidR="0034755E" w:rsidRDefault="00190F4C" w:rsidP="00FA0A9A">
            <w:r>
              <w:t xml:space="preserve">The IFB does not </w:t>
            </w:r>
            <w:r w:rsidR="0090711A">
              <w:t xml:space="preserve">stipulate </w:t>
            </w:r>
            <w:r>
              <w:t xml:space="preserve">a maximum number of plates per hour.  As stated in </w:t>
            </w:r>
            <w:r w:rsidR="00EF1CFC">
              <w:t>Section 1.6.1.1 of the IFB</w:t>
            </w:r>
            <w:r>
              <w:t>, t</w:t>
            </w:r>
            <w:r w:rsidR="00EF1CFC" w:rsidRPr="00EF1CFC">
              <w:t xml:space="preserve">he system must be a </w:t>
            </w:r>
            <w:proofErr w:type="gramStart"/>
            <w:r w:rsidR="00EF1CFC" w:rsidRPr="00EF1CFC">
              <w:t>top quality</w:t>
            </w:r>
            <w:proofErr w:type="gramEnd"/>
            <w:r w:rsidR="00EF1CFC" w:rsidRPr="00EF1CFC">
              <w:t xml:space="preserve"> thermal imaging plate setter capable of processing a </w:t>
            </w:r>
            <w:r w:rsidR="00EF1CFC" w:rsidRPr="00AD26E8">
              <w:rPr>
                <w:color w:val="FF0000"/>
              </w:rPr>
              <w:t>minimum</w:t>
            </w:r>
            <w:r w:rsidR="00EF1CFC" w:rsidRPr="00EF1CFC">
              <w:t xml:space="preserve"> of 16 full size plates per hour throughput speed @ 2540 dpi with an intuitive user interface.</w:t>
            </w:r>
          </w:p>
        </w:tc>
      </w:tr>
      <w:bookmarkEnd w:id="9"/>
      <w:tr w:rsidR="0034755E" w:rsidRPr="001953D8" w14:paraId="60A78B6D" w14:textId="77777777" w:rsidTr="00FA0A9A">
        <w:trPr>
          <w:trHeight w:val="857"/>
        </w:trPr>
        <w:tc>
          <w:tcPr>
            <w:tcW w:w="980" w:type="dxa"/>
          </w:tcPr>
          <w:p w14:paraId="366ED73A" w14:textId="77777777" w:rsidR="0034755E" w:rsidRPr="0034755E" w:rsidRDefault="0034755E" w:rsidP="0034755E">
            <w:pPr>
              <w:pStyle w:val="ListParagraph"/>
              <w:numPr>
                <w:ilvl w:val="0"/>
                <w:numId w:val="11"/>
              </w:numPr>
              <w:jc w:val="center"/>
              <w:rPr>
                <w:rFonts w:cstheme="minorHAnsi"/>
              </w:rPr>
            </w:pPr>
          </w:p>
        </w:tc>
        <w:tc>
          <w:tcPr>
            <w:tcW w:w="6395" w:type="dxa"/>
          </w:tcPr>
          <w:p w14:paraId="55438C22" w14:textId="018FBA3D" w:rsidR="0034755E" w:rsidRPr="000D4A3E" w:rsidRDefault="0034755E" w:rsidP="00FA0A9A">
            <w:r w:rsidRPr="000D4A3E">
              <w:t>How many plates do</w:t>
            </w:r>
            <w:r w:rsidR="00287B09">
              <w:t>es the Department</w:t>
            </w:r>
            <w:r w:rsidRPr="000D4A3E">
              <w:t xml:space="preserve"> use a day?  </w:t>
            </w:r>
          </w:p>
        </w:tc>
        <w:tc>
          <w:tcPr>
            <w:tcW w:w="6289" w:type="dxa"/>
          </w:tcPr>
          <w:p w14:paraId="1B63D9CF" w14:textId="10009639" w:rsidR="0034755E" w:rsidRDefault="004A257A" w:rsidP="00FA0A9A">
            <w:r>
              <w:t xml:space="preserve">Tax uses </w:t>
            </w:r>
            <w:r w:rsidR="0034755E">
              <w:t>as many as 20-</w:t>
            </w:r>
            <w:r w:rsidR="0034755E" w:rsidRPr="000D4A3E">
              <w:t>30</w:t>
            </w:r>
            <w:r>
              <w:t xml:space="preserve"> plates per</w:t>
            </w:r>
            <w:r w:rsidR="0034755E" w:rsidRPr="000D4A3E">
              <w:t xml:space="preserve"> day.</w:t>
            </w:r>
          </w:p>
        </w:tc>
      </w:tr>
      <w:tr w:rsidR="0034755E" w:rsidRPr="001953D8" w14:paraId="706656DD" w14:textId="77777777" w:rsidTr="00FA0A9A">
        <w:trPr>
          <w:trHeight w:val="857"/>
        </w:trPr>
        <w:tc>
          <w:tcPr>
            <w:tcW w:w="980" w:type="dxa"/>
          </w:tcPr>
          <w:p w14:paraId="169CBB67" w14:textId="77777777" w:rsidR="0034755E" w:rsidRPr="0034755E" w:rsidRDefault="0034755E" w:rsidP="0034755E">
            <w:pPr>
              <w:pStyle w:val="ListParagraph"/>
              <w:numPr>
                <w:ilvl w:val="0"/>
                <w:numId w:val="11"/>
              </w:numPr>
              <w:jc w:val="center"/>
              <w:rPr>
                <w:rFonts w:cstheme="minorHAnsi"/>
              </w:rPr>
            </w:pPr>
          </w:p>
        </w:tc>
        <w:tc>
          <w:tcPr>
            <w:tcW w:w="6395" w:type="dxa"/>
          </w:tcPr>
          <w:p w14:paraId="15CE19FD" w14:textId="77777777" w:rsidR="0034755E" w:rsidRPr="000D4A3E" w:rsidRDefault="0034755E" w:rsidP="00FA0A9A">
            <w:r w:rsidRPr="000D4A3E">
              <w:t xml:space="preserve">Will we be staying with current thermal plate vendor?  </w:t>
            </w:r>
          </w:p>
        </w:tc>
        <w:tc>
          <w:tcPr>
            <w:tcW w:w="6289" w:type="dxa"/>
          </w:tcPr>
          <w:p w14:paraId="1EC7C1E6" w14:textId="345C20C9" w:rsidR="0034755E" w:rsidRDefault="00D87288" w:rsidP="00FA0A9A">
            <w:r>
              <w:t xml:space="preserve">The Department currently uses </w:t>
            </w:r>
            <w:r w:rsidRPr="000D4A3E">
              <w:t>Heidelberg Saphira thermal plates</w:t>
            </w:r>
            <w:r>
              <w:t xml:space="preserve"> and has no</w:t>
            </w:r>
            <w:r w:rsidR="00EF1CFC">
              <w:t xml:space="preserve"> plans</w:t>
            </w:r>
            <w:r>
              <w:t xml:space="preserve"> of moving to a new </w:t>
            </w:r>
            <w:r w:rsidR="000A322E">
              <w:t>product</w:t>
            </w:r>
            <w:r>
              <w:t xml:space="preserve">.  </w:t>
            </w:r>
            <w:r w:rsidR="00797B88">
              <w:t xml:space="preserve">It is our understanding that </w:t>
            </w:r>
            <w:r w:rsidR="000A322E">
              <w:t xml:space="preserve">these </w:t>
            </w:r>
            <w:r w:rsidR="00797B88">
              <w:t xml:space="preserve">plates are compatible with all CTP Image Systems. </w:t>
            </w:r>
            <w:r w:rsidR="00EF1CFC">
              <w:t>Note</w:t>
            </w:r>
            <w:r w:rsidR="00996671">
              <w:t>, t</w:t>
            </w:r>
            <w:r>
              <w:t xml:space="preserve">he procurement of thermal plates is not </w:t>
            </w:r>
            <w:r w:rsidR="00287B09">
              <w:t>with</w:t>
            </w:r>
            <w:r>
              <w:t>in the scope of this contract.</w:t>
            </w:r>
          </w:p>
        </w:tc>
      </w:tr>
      <w:tr w:rsidR="0034755E" w:rsidRPr="001953D8" w14:paraId="7036E84A" w14:textId="77777777" w:rsidTr="00FA0A9A">
        <w:trPr>
          <w:trHeight w:val="857"/>
        </w:trPr>
        <w:tc>
          <w:tcPr>
            <w:tcW w:w="980" w:type="dxa"/>
          </w:tcPr>
          <w:p w14:paraId="211F52F9" w14:textId="77777777" w:rsidR="0034755E" w:rsidRPr="0034755E" w:rsidRDefault="0034755E" w:rsidP="0034755E">
            <w:pPr>
              <w:pStyle w:val="ListParagraph"/>
              <w:numPr>
                <w:ilvl w:val="0"/>
                <w:numId w:val="11"/>
              </w:numPr>
              <w:jc w:val="center"/>
              <w:rPr>
                <w:rFonts w:cstheme="minorHAnsi"/>
              </w:rPr>
            </w:pPr>
          </w:p>
        </w:tc>
        <w:tc>
          <w:tcPr>
            <w:tcW w:w="6395" w:type="dxa"/>
          </w:tcPr>
          <w:p w14:paraId="49BEE982" w14:textId="01E86C1D" w:rsidR="0034755E" w:rsidRPr="000D4A3E" w:rsidRDefault="004A257A" w:rsidP="00FA0A9A">
            <w:r>
              <w:t xml:space="preserve"> Is the Department</w:t>
            </w:r>
            <w:r w:rsidR="0034755E" w:rsidRPr="000D4A3E">
              <w:t xml:space="preserve"> printing UV?  </w:t>
            </w:r>
          </w:p>
        </w:tc>
        <w:tc>
          <w:tcPr>
            <w:tcW w:w="6289" w:type="dxa"/>
          </w:tcPr>
          <w:p w14:paraId="3C10EBE8" w14:textId="16271FA9" w:rsidR="0034755E" w:rsidRDefault="0034755E" w:rsidP="00FA0A9A">
            <w:r w:rsidRPr="000D4A3E">
              <w:t xml:space="preserve">Yes, </w:t>
            </w:r>
            <w:r w:rsidR="000858C5">
              <w:t>the Department</w:t>
            </w:r>
            <w:r w:rsidRPr="000D4A3E">
              <w:t xml:space="preserve"> use</w:t>
            </w:r>
            <w:r w:rsidR="000858C5">
              <w:t>s an</w:t>
            </w:r>
            <w:r w:rsidRPr="000D4A3E">
              <w:t xml:space="preserve"> ML-2000 </w:t>
            </w:r>
            <w:proofErr w:type="spellStart"/>
            <w:r w:rsidRPr="000D4A3E">
              <w:t>Didde</w:t>
            </w:r>
            <w:proofErr w:type="spellEnd"/>
            <w:r w:rsidRPr="000D4A3E">
              <w:t xml:space="preserve"> web press</w:t>
            </w:r>
            <w:r>
              <w:t>.</w:t>
            </w:r>
          </w:p>
        </w:tc>
      </w:tr>
      <w:tr w:rsidR="0034755E" w:rsidRPr="001953D8" w14:paraId="45C68D6D" w14:textId="77777777" w:rsidTr="00FA0A9A">
        <w:trPr>
          <w:trHeight w:val="857"/>
        </w:trPr>
        <w:tc>
          <w:tcPr>
            <w:tcW w:w="980" w:type="dxa"/>
          </w:tcPr>
          <w:p w14:paraId="057A43E4" w14:textId="77777777" w:rsidR="0034755E" w:rsidRPr="0034755E" w:rsidRDefault="0034755E" w:rsidP="0034755E">
            <w:pPr>
              <w:pStyle w:val="ListParagraph"/>
              <w:numPr>
                <w:ilvl w:val="0"/>
                <w:numId w:val="11"/>
              </w:numPr>
              <w:jc w:val="center"/>
              <w:rPr>
                <w:rFonts w:cstheme="minorHAnsi"/>
              </w:rPr>
            </w:pPr>
          </w:p>
        </w:tc>
        <w:tc>
          <w:tcPr>
            <w:tcW w:w="6395" w:type="dxa"/>
          </w:tcPr>
          <w:p w14:paraId="3E8B2F9C" w14:textId="1B48AB42" w:rsidR="0034755E" w:rsidRPr="000D4A3E" w:rsidRDefault="0034755E" w:rsidP="00FA0A9A">
            <w:r w:rsidRPr="000D4A3E">
              <w:t xml:space="preserve">What plates </w:t>
            </w:r>
            <w:r w:rsidR="004A257A">
              <w:t>does the Department</w:t>
            </w:r>
            <w:r w:rsidRPr="000D4A3E">
              <w:t xml:space="preserve"> currently use?  </w:t>
            </w:r>
          </w:p>
        </w:tc>
        <w:tc>
          <w:tcPr>
            <w:tcW w:w="6289" w:type="dxa"/>
          </w:tcPr>
          <w:p w14:paraId="7CAE4CD5" w14:textId="4F08E4FD" w:rsidR="0034755E" w:rsidRDefault="00D87288" w:rsidP="00FA0A9A">
            <w:r>
              <w:t xml:space="preserve">The Department currently uses </w:t>
            </w:r>
            <w:r w:rsidR="0034755E" w:rsidRPr="000D4A3E">
              <w:t>Heidelberg Saphira thermal plates</w:t>
            </w:r>
            <w:r w:rsidR="0034755E">
              <w:t>.</w:t>
            </w:r>
          </w:p>
        </w:tc>
      </w:tr>
      <w:tr w:rsidR="0034755E" w:rsidRPr="001953D8" w14:paraId="3563E154" w14:textId="77777777" w:rsidTr="00FA0A9A">
        <w:trPr>
          <w:trHeight w:val="857"/>
        </w:trPr>
        <w:tc>
          <w:tcPr>
            <w:tcW w:w="980" w:type="dxa"/>
          </w:tcPr>
          <w:p w14:paraId="6D2C66C9" w14:textId="77777777" w:rsidR="0034755E" w:rsidRPr="0034755E" w:rsidRDefault="0034755E" w:rsidP="0034755E">
            <w:pPr>
              <w:pStyle w:val="ListParagraph"/>
              <w:numPr>
                <w:ilvl w:val="0"/>
                <w:numId w:val="11"/>
              </w:numPr>
              <w:jc w:val="center"/>
              <w:rPr>
                <w:rFonts w:cstheme="minorHAnsi"/>
              </w:rPr>
            </w:pPr>
          </w:p>
        </w:tc>
        <w:tc>
          <w:tcPr>
            <w:tcW w:w="6395" w:type="dxa"/>
          </w:tcPr>
          <w:p w14:paraId="5B702534" w14:textId="77777777" w:rsidR="0034755E" w:rsidRPr="000D4A3E" w:rsidRDefault="0034755E" w:rsidP="00FA0A9A">
            <w:r w:rsidRPr="00886428">
              <w:t xml:space="preserve">Does the SupraSetter need the capability to punch holes in plates?  </w:t>
            </w:r>
          </w:p>
        </w:tc>
        <w:tc>
          <w:tcPr>
            <w:tcW w:w="6289" w:type="dxa"/>
          </w:tcPr>
          <w:p w14:paraId="78502337" w14:textId="77777777" w:rsidR="0034755E" w:rsidRDefault="0034755E" w:rsidP="00FA0A9A">
            <w:r w:rsidRPr="00886428">
              <w:t>No</w:t>
            </w:r>
            <w:r>
              <w:t>.</w:t>
            </w:r>
          </w:p>
        </w:tc>
      </w:tr>
      <w:tr w:rsidR="00D15588" w:rsidRPr="001953D8" w14:paraId="6EE31CE6" w14:textId="77777777" w:rsidTr="00FA0A9A">
        <w:trPr>
          <w:trHeight w:val="857"/>
        </w:trPr>
        <w:tc>
          <w:tcPr>
            <w:tcW w:w="980" w:type="dxa"/>
          </w:tcPr>
          <w:p w14:paraId="109B2115" w14:textId="77777777" w:rsidR="00D15588" w:rsidRPr="0034755E" w:rsidRDefault="00D15588" w:rsidP="0034755E">
            <w:pPr>
              <w:pStyle w:val="ListParagraph"/>
              <w:numPr>
                <w:ilvl w:val="0"/>
                <w:numId w:val="11"/>
              </w:numPr>
              <w:jc w:val="center"/>
              <w:rPr>
                <w:rFonts w:cstheme="minorHAnsi"/>
              </w:rPr>
            </w:pPr>
          </w:p>
        </w:tc>
        <w:tc>
          <w:tcPr>
            <w:tcW w:w="6395" w:type="dxa"/>
          </w:tcPr>
          <w:p w14:paraId="2A50D37C" w14:textId="506A7F07" w:rsidR="00D15588" w:rsidRPr="00886428" w:rsidRDefault="00D15588" w:rsidP="00FA0A9A">
            <w:r w:rsidRPr="00D15588">
              <w:t xml:space="preserve">Bid #19-200, "Computer </w:t>
            </w:r>
            <w:proofErr w:type="gramStart"/>
            <w:r w:rsidRPr="00D15588">
              <w:t>To</w:t>
            </w:r>
            <w:proofErr w:type="gramEnd"/>
            <w:r w:rsidRPr="00D15588">
              <w:t xml:space="preserve"> Plate Image System", Page 5 of 86, Section 1.6.1.1. requires "All workflow software must be included, fully automated, and integrate seamlessly with our current equipment, (Heidelberg Prinect Signa Station 106 version 13.00,4195.14.)</w:t>
            </w:r>
            <w:r>
              <w:t xml:space="preserve">. </w:t>
            </w:r>
            <w:r w:rsidRPr="00D15588">
              <w:t>Does the existing RIP, (Heidelberg Prinect Signa Station 106 version 13.00,4195.14.) provide a 1bit TIFF file to the current Heidelberg, "Suprasetter 105"?</w:t>
            </w:r>
          </w:p>
        </w:tc>
        <w:tc>
          <w:tcPr>
            <w:tcW w:w="6289" w:type="dxa"/>
          </w:tcPr>
          <w:p w14:paraId="79CE0001" w14:textId="54A6EC23" w:rsidR="00D15588" w:rsidRPr="00886428" w:rsidRDefault="001B4FC1" w:rsidP="00FA0A9A">
            <w:r>
              <w:t xml:space="preserve">Yes, The current Prinect Signa station version 13.00,4195.14 does provide a 1 bitt Tiff file to the current Suprasetter 105.  </w:t>
            </w:r>
          </w:p>
        </w:tc>
      </w:tr>
    </w:tbl>
    <w:p w14:paraId="53C8202B" w14:textId="77777777" w:rsidR="0034755E" w:rsidRDefault="0034755E"/>
    <w:sectPr w:rsidR="0034755E" w:rsidSect="0034755E">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61514" w14:textId="77777777" w:rsidR="00886428" w:rsidRDefault="00886428" w:rsidP="00886428">
      <w:pPr>
        <w:spacing w:after="0" w:line="240" w:lineRule="auto"/>
      </w:pPr>
      <w:r>
        <w:separator/>
      </w:r>
    </w:p>
  </w:endnote>
  <w:endnote w:type="continuationSeparator" w:id="0">
    <w:p w14:paraId="424B72E6" w14:textId="77777777" w:rsidR="00886428" w:rsidRDefault="00886428" w:rsidP="0088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C4AF2" w14:textId="77777777" w:rsidR="00886428" w:rsidRDefault="00886428" w:rsidP="00886428">
      <w:pPr>
        <w:spacing w:after="0" w:line="240" w:lineRule="auto"/>
      </w:pPr>
      <w:r>
        <w:separator/>
      </w:r>
    </w:p>
  </w:footnote>
  <w:footnote w:type="continuationSeparator" w:id="0">
    <w:p w14:paraId="0EF9163D" w14:textId="77777777" w:rsidR="00886428" w:rsidRDefault="00886428" w:rsidP="00886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F2F0" w14:textId="77777777" w:rsidR="0034755E" w:rsidRPr="00CD28DD" w:rsidRDefault="0034755E" w:rsidP="0034755E">
    <w:pPr>
      <w:pStyle w:val="Header"/>
      <w:tabs>
        <w:tab w:val="left" w:pos="3912"/>
      </w:tabs>
      <w:jc w:val="center"/>
    </w:pPr>
    <w:bookmarkStart w:id="0" w:name="_Hlk3800638"/>
    <w:bookmarkStart w:id="1" w:name="_Hlk3800639"/>
    <w:bookmarkStart w:id="2" w:name="_Hlk3800640"/>
    <w:bookmarkStart w:id="3" w:name="_Hlk3800643"/>
    <w:bookmarkStart w:id="4" w:name="_Hlk3800644"/>
    <w:bookmarkStart w:id="5" w:name="_Hlk3800645"/>
    <w:r w:rsidRPr="00CD28DD">
      <w:t>New York State Department of Taxation and Finance</w:t>
    </w:r>
  </w:p>
  <w:p w14:paraId="37E5C84A" w14:textId="77777777" w:rsidR="0034755E" w:rsidRPr="00CD28DD" w:rsidRDefault="0034755E" w:rsidP="0034755E">
    <w:pPr>
      <w:pStyle w:val="Header"/>
      <w:tabs>
        <w:tab w:val="left" w:pos="3912"/>
      </w:tabs>
      <w:jc w:val="center"/>
    </w:pPr>
    <w:r>
      <w:t>Invitation for Bids # 19-200</w:t>
    </w:r>
  </w:p>
  <w:bookmarkEnd w:id="0"/>
  <w:bookmarkEnd w:id="1"/>
  <w:bookmarkEnd w:id="2"/>
  <w:bookmarkEnd w:id="3"/>
  <w:bookmarkEnd w:id="4"/>
  <w:bookmarkEnd w:id="5"/>
  <w:p w14:paraId="05419654" w14:textId="77777777" w:rsidR="0034755E" w:rsidRPr="00D269D6" w:rsidRDefault="0034755E" w:rsidP="0034755E">
    <w:pPr>
      <w:pStyle w:val="Header"/>
      <w:tabs>
        <w:tab w:val="left" w:pos="3912"/>
      </w:tabs>
      <w:jc w:val="center"/>
    </w:pPr>
    <w:r>
      <w:t>Computer to Plate</w:t>
    </w:r>
    <w:r w:rsidR="006261EE">
      <w:t xml:space="preserve"> Image System</w:t>
    </w:r>
  </w:p>
  <w:p w14:paraId="4030C705" w14:textId="77777777" w:rsidR="0034755E" w:rsidRDefault="00347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67BA5"/>
    <w:multiLevelType w:val="hybridMultilevel"/>
    <w:tmpl w:val="128AA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B15C2"/>
    <w:multiLevelType w:val="hybridMultilevel"/>
    <w:tmpl w:val="B35430E6"/>
    <w:lvl w:ilvl="0" w:tplc="C4CC383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1174A"/>
    <w:multiLevelType w:val="hybridMultilevel"/>
    <w:tmpl w:val="2964687C"/>
    <w:lvl w:ilvl="0" w:tplc="634024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24060"/>
    <w:multiLevelType w:val="hybridMultilevel"/>
    <w:tmpl w:val="CAE89EC6"/>
    <w:lvl w:ilvl="0" w:tplc="7A188C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A41B7"/>
    <w:multiLevelType w:val="hybridMultilevel"/>
    <w:tmpl w:val="BBB0BE02"/>
    <w:lvl w:ilvl="0" w:tplc="17B4D9C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F708F"/>
    <w:multiLevelType w:val="hybridMultilevel"/>
    <w:tmpl w:val="F10AA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387886"/>
    <w:multiLevelType w:val="hybridMultilevel"/>
    <w:tmpl w:val="F8B82BA8"/>
    <w:lvl w:ilvl="0" w:tplc="8A4E49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0706A"/>
    <w:multiLevelType w:val="hybridMultilevel"/>
    <w:tmpl w:val="C17AF170"/>
    <w:lvl w:ilvl="0" w:tplc="E8DCBD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03A3F"/>
    <w:multiLevelType w:val="hybridMultilevel"/>
    <w:tmpl w:val="E768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27DB7"/>
    <w:multiLevelType w:val="hybridMultilevel"/>
    <w:tmpl w:val="69A44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5E63A5"/>
    <w:multiLevelType w:val="hybridMultilevel"/>
    <w:tmpl w:val="E676E43C"/>
    <w:lvl w:ilvl="0" w:tplc="336E648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9"/>
  </w:num>
  <w:num w:numId="5">
    <w:abstractNumId w:val="6"/>
  </w:num>
  <w:num w:numId="6">
    <w:abstractNumId w:val="3"/>
  </w:num>
  <w:num w:numId="7">
    <w:abstractNumId w:val="7"/>
  </w:num>
  <w:num w:numId="8">
    <w:abstractNumId w:val="4"/>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3E"/>
    <w:rsid w:val="00057677"/>
    <w:rsid w:val="000858C5"/>
    <w:rsid w:val="000A322E"/>
    <w:rsid w:val="000D4A3E"/>
    <w:rsid w:val="001773CD"/>
    <w:rsid w:val="00190F4C"/>
    <w:rsid w:val="0019528D"/>
    <w:rsid w:val="001B4FC1"/>
    <w:rsid w:val="00287B09"/>
    <w:rsid w:val="00290F4D"/>
    <w:rsid w:val="0034755E"/>
    <w:rsid w:val="004376AE"/>
    <w:rsid w:val="00493AB0"/>
    <w:rsid w:val="004A257A"/>
    <w:rsid w:val="005C3326"/>
    <w:rsid w:val="006261EE"/>
    <w:rsid w:val="00661081"/>
    <w:rsid w:val="00797B88"/>
    <w:rsid w:val="00886428"/>
    <w:rsid w:val="008E1C98"/>
    <w:rsid w:val="0090711A"/>
    <w:rsid w:val="00996671"/>
    <w:rsid w:val="009A68A4"/>
    <w:rsid w:val="00A50461"/>
    <w:rsid w:val="00AD26E8"/>
    <w:rsid w:val="00B3494E"/>
    <w:rsid w:val="00B34A45"/>
    <w:rsid w:val="00C348AF"/>
    <w:rsid w:val="00CD5821"/>
    <w:rsid w:val="00CF57D0"/>
    <w:rsid w:val="00D15588"/>
    <w:rsid w:val="00D87288"/>
    <w:rsid w:val="00DB24D7"/>
    <w:rsid w:val="00E0072A"/>
    <w:rsid w:val="00E730D9"/>
    <w:rsid w:val="00E747C9"/>
    <w:rsid w:val="00EF1CFC"/>
    <w:rsid w:val="00F3785B"/>
    <w:rsid w:val="00F9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33D745"/>
  <w15:chartTrackingRefBased/>
  <w15:docId w15:val="{BDE9B7CB-DC66-4848-8169-A9E33E90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A3E"/>
    <w:pPr>
      <w:ind w:left="720"/>
      <w:contextualSpacing/>
    </w:pPr>
  </w:style>
  <w:style w:type="paragraph" w:styleId="Header">
    <w:name w:val="header"/>
    <w:aliases w:val="Alt Header"/>
    <w:basedOn w:val="Normal"/>
    <w:link w:val="HeaderChar"/>
    <w:uiPriority w:val="99"/>
    <w:unhideWhenUsed/>
    <w:rsid w:val="00886428"/>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886428"/>
  </w:style>
  <w:style w:type="paragraph" w:styleId="Footer">
    <w:name w:val="footer"/>
    <w:basedOn w:val="Normal"/>
    <w:link w:val="FooterChar"/>
    <w:uiPriority w:val="99"/>
    <w:unhideWhenUsed/>
    <w:rsid w:val="0088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428"/>
  </w:style>
  <w:style w:type="character" w:styleId="CommentReference">
    <w:name w:val="annotation reference"/>
    <w:basedOn w:val="DefaultParagraphFont"/>
    <w:uiPriority w:val="99"/>
    <w:semiHidden/>
    <w:unhideWhenUsed/>
    <w:rsid w:val="00661081"/>
    <w:rPr>
      <w:sz w:val="16"/>
      <w:szCs w:val="16"/>
    </w:rPr>
  </w:style>
  <w:style w:type="paragraph" w:styleId="CommentText">
    <w:name w:val="annotation text"/>
    <w:basedOn w:val="Normal"/>
    <w:link w:val="CommentTextChar"/>
    <w:uiPriority w:val="99"/>
    <w:semiHidden/>
    <w:unhideWhenUsed/>
    <w:rsid w:val="00661081"/>
    <w:pPr>
      <w:spacing w:line="240" w:lineRule="auto"/>
    </w:pPr>
    <w:rPr>
      <w:sz w:val="20"/>
      <w:szCs w:val="20"/>
    </w:rPr>
  </w:style>
  <w:style w:type="character" w:customStyle="1" w:styleId="CommentTextChar">
    <w:name w:val="Comment Text Char"/>
    <w:basedOn w:val="DefaultParagraphFont"/>
    <w:link w:val="CommentText"/>
    <w:uiPriority w:val="99"/>
    <w:semiHidden/>
    <w:rsid w:val="00661081"/>
    <w:rPr>
      <w:sz w:val="20"/>
      <w:szCs w:val="20"/>
    </w:rPr>
  </w:style>
  <w:style w:type="paragraph" w:styleId="CommentSubject">
    <w:name w:val="annotation subject"/>
    <w:basedOn w:val="CommentText"/>
    <w:next w:val="CommentText"/>
    <w:link w:val="CommentSubjectChar"/>
    <w:uiPriority w:val="99"/>
    <w:semiHidden/>
    <w:unhideWhenUsed/>
    <w:rsid w:val="00661081"/>
    <w:rPr>
      <w:b/>
      <w:bCs/>
    </w:rPr>
  </w:style>
  <w:style w:type="character" w:customStyle="1" w:styleId="CommentSubjectChar">
    <w:name w:val="Comment Subject Char"/>
    <w:basedOn w:val="CommentTextChar"/>
    <w:link w:val="CommentSubject"/>
    <w:uiPriority w:val="99"/>
    <w:semiHidden/>
    <w:rsid w:val="00661081"/>
    <w:rPr>
      <w:b/>
      <w:bCs/>
      <w:sz w:val="20"/>
      <w:szCs w:val="20"/>
    </w:rPr>
  </w:style>
  <w:style w:type="paragraph" w:styleId="BalloonText">
    <w:name w:val="Balloon Text"/>
    <w:basedOn w:val="Normal"/>
    <w:link w:val="BalloonTextChar"/>
    <w:uiPriority w:val="99"/>
    <w:semiHidden/>
    <w:unhideWhenUsed/>
    <w:rsid w:val="00661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A7B45-88DC-47F2-9FC4-B8995DF7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1903D43D.dotm</Template>
  <TotalTime>1</TotalTime>
  <Pages>4</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Lansburg, Gabrielle (TAX)</dc:creator>
  <cp:keywords/>
  <dc:description/>
  <cp:lastModifiedBy>Jones, Earl M (TAX)</cp:lastModifiedBy>
  <cp:revision>3</cp:revision>
  <cp:lastPrinted>2019-07-23T18:50:00Z</cp:lastPrinted>
  <dcterms:created xsi:type="dcterms:W3CDTF">2019-07-23T18:58:00Z</dcterms:created>
  <dcterms:modified xsi:type="dcterms:W3CDTF">2019-07-23T19:03:00Z</dcterms:modified>
</cp:coreProperties>
</file>