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B82D15" w14:paraId="3FF9CC43" w14:textId="77777777" w:rsidTr="00352E1A">
        <w:trPr>
          <w:trHeight w:val="1080"/>
          <w:jc w:val="center"/>
        </w:trPr>
        <w:tc>
          <w:tcPr>
            <w:tcW w:w="11221" w:type="dxa"/>
            <w:gridSpan w:val="3"/>
          </w:tcPr>
          <w:p w14:paraId="3FF9CC41" w14:textId="77777777" w:rsidR="00183E6E" w:rsidRDefault="00183E6E" w:rsidP="000772D4">
            <w:pPr>
              <w:ind w:left="733"/>
              <w:rPr>
                <w:i/>
              </w:rPr>
            </w:pPr>
            <w:r>
              <w:rPr>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0772D4" w:rsidRDefault="000772D4" w:rsidP="000772D4">
            <w:pPr>
              <w:ind w:left="45"/>
              <w:rPr>
                <w:i/>
              </w:rPr>
            </w:pPr>
          </w:p>
        </w:tc>
      </w:tr>
      <w:tr w:rsidR="004E21EB" w:rsidRPr="004E21EB" w14:paraId="3FF9CC4A" w14:textId="77777777" w:rsidTr="00352E1A">
        <w:trPr>
          <w:trHeight w:val="585"/>
          <w:jc w:val="center"/>
        </w:trPr>
        <w:tc>
          <w:tcPr>
            <w:tcW w:w="4442" w:type="dxa"/>
            <w:vAlign w:val="center"/>
          </w:tcPr>
          <w:p w14:paraId="3FF9CC45" w14:textId="77777777" w:rsidR="000772D4" w:rsidRDefault="000772D4" w:rsidP="00352E1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6415B2" w14:textId="77777777" w:rsidR="00507181" w:rsidRDefault="00660279" w:rsidP="00352E1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3A11E82" w14:textId="77777777" w:rsidR="00546CD7" w:rsidRDefault="00546CD7" w:rsidP="00352E1A">
            <w:pPr>
              <w:spacing w:before="60"/>
              <w:ind w:left="734"/>
              <w:rPr>
                <w:rFonts w:ascii="Proxima Nova Rg" w:hAnsi="Proxima Nova Rg" w:cs="Arial"/>
                <w:b/>
                <w:caps/>
                <w:noProof/>
                <w:sz w:val="20"/>
              </w:rPr>
            </w:pPr>
          </w:p>
          <w:p w14:paraId="3FF9CC47" w14:textId="66081171" w:rsidR="00546CD7" w:rsidRPr="00352E1A" w:rsidRDefault="00546CD7" w:rsidP="00352E1A">
            <w:pPr>
              <w:spacing w:before="60"/>
              <w:ind w:left="734"/>
              <w:rPr>
                <w:rFonts w:ascii="Proxima Nova Rg" w:hAnsi="Proxima Nova Rg" w:cs="Arial"/>
                <w:b/>
                <w:caps/>
                <w:noProof/>
                <w:sz w:val="20"/>
              </w:rPr>
            </w:pPr>
          </w:p>
        </w:tc>
        <w:tc>
          <w:tcPr>
            <w:tcW w:w="2987" w:type="dxa"/>
            <w:vAlign w:val="center"/>
          </w:tcPr>
          <w:p w14:paraId="3FF9CC48" w14:textId="77777777" w:rsidR="00B033C0" w:rsidRPr="004E21EB" w:rsidRDefault="00B033C0" w:rsidP="00F4150F">
            <w:pPr>
              <w:ind w:left="250"/>
              <w:rPr>
                <w:rFonts w:ascii="Proxima Nova Rg" w:hAnsi="Proxima Nova Rg"/>
                <w:noProof/>
              </w:rPr>
            </w:pPr>
          </w:p>
        </w:tc>
        <w:tc>
          <w:tcPr>
            <w:tcW w:w="3792" w:type="dxa"/>
            <w:vAlign w:val="center"/>
          </w:tcPr>
          <w:p w14:paraId="3FF9CC49" w14:textId="77777777" w:rsidR="00B033C0" w:rsidRPr="004E21EB" w:rsidRDefault="00B033C0" w:rsidP="00F4150F">
            <w:pPr>
              <w:ind w:left="593"/>
              <w:rPr>
                <w:rFonts w:ascii="Proxima Nova Rg" w:hAnsi="Proxima Nova Rg" w:cs="Arial"/>
                <w:caps/>
                <w:noProof/>
                <w:sz w:val="20"/>
              </w:rPr>
            </w:pPr>
          </w:p>
        </w:tc>
      </w:tr>
    </w:tbl>
    <w:p w14:paraId="756D3218" w14:textId="77777777" w:rsidR="00326322" w:rsidRDefault="00680B6F" w:rsidP="00B13013">
      <w:pPr>
        <w:jc w:val="center"/>
        <w:rPr>
          <w:rFonts w:ascii="Calibri" w:eastAsia="Calibri" w:hAnsi="Calibri" w:cs="Calibri"/>
          <w:b/>
          <w:bCs/>
        </w:rPr>
      </w:pPr>
      <w:r>
        <w:rPr>
          <w:rFonts w:ascii="Calibri" w:eastAsia="Calibri" w:hAnsi="Calibri" w:cs="Calibri"/>
          <w:b/>
          <w:bCs/>
        </w:rPr>
        <w:t xml:space="preserve">REQUEST FOR PROPOSALS (RFP) </w:t>
      </w:r>
      <w:r w:rsidR="00A01250">
        <w:rPr>
          <w:rFonts w:ascii="Calibri" w:eastAsia="Calibri" w:hAnsi="Calibri" w:cs="Calibri"/>
          <w:b/>
          <w:bCs/>
        </w:rPr>
        <w:t>17-100</w:t>
      </w:r>
      <w:r w:rsidR="00B13013">
        <w:rPr>
          <w:rFonts w:ascii="Calibri" w:eastAsia="Calibri" w:hAnsi="Calibri" w:cs="Calibri"/>
          <w:b/>
          <w:bCs/>
        </w:rPr>
        <w:t xml:space="preserve"> </w:t>
      </w:r>
    </w:p>
    <w:p w14:paraId="07D29B25" w14:textId="6FF71854" w:rsidR="00B13013" w:rsidRDefault="00A01250" w:rsidP="00B13013">
      <w:pPr>
        <w:jc w:val="center"/>
        <w:rPr>
          <w:rFonts w:ascii="Calibri" w:eastAsia="Calibri" w:hAnsi="Calibri" w:cs="Calibri"/>
          <w:b/>
          <w:bCs/>
        </w:rPr>
      </w:pPr>
      <w:r>
        <w:rPr>
          <w:rFonts w:ascii="Calibri" w:eastAsia="Calibri" w:hAnsi="Calibri" w:cs="Calibri"/>
          <w:b/>
          <w:bCs/>
        </w:rPr>
        <w:t>Financial Institution Data Match Services</w:t>
      </w:r>
    </w:p>
    <w:p w14:paraId="35FB15E3" w14:textId="4324A5BD" w:rsidR="00636D0B" w:rsidRDefault="00326322" w:rsidP="00B13013">
      <w:pPr>
        <w:jc w:val="center"/>
        <w:rPr>
          <w:rFonts w:ascii="Times New Roman" w:hAnsi="Times New Roman"/>
        </w:rPr>
      </w:pPr>
      <w:r>
        <w:rPr>
          <w:rFonts w:ascii="Calibri" w:eastAsia="Calibri" w:hAnsi="Calibri" w:cs="Calibri"/>
          <w:b/>
          <w:bCs/>
        </w:rPr>
        <w:t>Response to Bidder Questions and Amendment #1</w:t>
      </w:r>
    </w:p>
    <w:p w14:paraId="33B0B076" w14:textId="77777777" w:rsidR="007710E0" w:rsidRDefault="007710E0" w:rsidP="00B13013">
      <w:pPr>
        <w:jc w:val="center"/>
        <w:rPr>
          <w:rFonts w:cstheme="minorHAnsi"/>
        </w:rPr>
      </w:pPr>
    </w:p>
    <w:p w14:paraId="6E02A8B1" w14:textId="732C7233" w:rsidR="00B13013" w:rsidRPr="00636D0B" w:rsidRDefault="00CF303F" w:rsidP="00B13013">
      <w:pPr>
        <w:jc w:val="center"/>
        <w:rPr>
          <w:rFonts w:cstheme="minorHAnsi"/>
        </w:rPr>
      </w:pPr>
      <w:r>
        <w:rPr>
          <w:rFonts w:cstheme="minorHAnsi"/>
        </w:rPr>
        <w:t>December 7</w:t>
      </w:r>
      <w:r w:rsidR="00A01250">
        <w:rPr>
          <w:rFonts w:cstheme="minorHAnsi"/>
        </w:rPr>
        <w:t>, 2017</w:t>
      </w:r>
    </w:p>
    <w:p w14:paraId="3A8BCEFE" w14:textId="77777777" w:rsidR="00326322" w:rsidRDefault="00326322" w:rsidP="00326322">
      <w:pPr>
        <w:autoSpaceDE w:val="0"/>
        <w:autoSpaceDN w:val="0"/>
        <w:adjustRightInd w:val="0"/>
        <w:ind w:left="240"/>
        <w:rPr>
          <w:rFonts w:cs="Calibri"/>
        </w:rPr>
      </w:pPr>
      <w:r>
        <w:rPr>
          <w:rFonts w:cs="Calibri"/>
        </w:rPr>
        <w:t>To All Potential Bidders:</w:t>
      </w:r>
    </w:p>
    <w:p w14:paraId="2090B972" w14:textId="1F8F0878" w:rsidR="00326322" w:rsidRDefault="00326322" w:rsidP="00326322">
      <w:pPr>
        <w:autoSpaceDE w:val="0"/>
        <w:autoSpaceDN w:val="0"/>
        <w:adjustRightInd w:val="0"/>
        <w:ind w:left="240"/>
        <w:rPr>
          <w:rFonts w:cs="Calibri"/>
          <w:bCs/>
        </w:rPr>
      </w:pPr>
      <w:r w:rsidRPr="005A7681">
        <w:rPr>
          <w:rFonts w:cs="Calibri"/>
          <w:bCs/>
        </w:rPr>
        <w:t xml:space="preserve">Attached are the Department’s responses to </w:t>
      </w:r>
      <w:r w:rsidR="00536F7C">
        <w:rPr>
          <w:rFonts w:cs="Calibri"/>
          <w:bCs/>
        </w:rPr>
        <w:t>the q</w:t>
      </w:r>
      <w:r w:rsidRPr="005A7681">
        <w:rPr>
          <w:rFonts w:cs="Calibri"/>
          <w:bCs/>
        </w:rPr>
        <w:t xml:space="preserve">uestions received for the above referenced </w:t>
      </w:r>
      <w:r w:rsidR="00536F7C">
        <w:rPr>
          <w:rFonts w:cs="Calibri"/>
          <w:bCs/>
        </w:rPr>
        <w:t>RFP</w:t>
      </w:r>
      <w:r w:rsidRPr="005A7681">
        <w:rPr>
          <w:rFonts w:cs="Calibri"/>
          <w:bCs/>
        </w:rPr>
        <w:t>.</w:t>
      </w:r>
    </w:p>
    <w:p w14:paraId="6B2715B7" w14:textId="77777777" w:rsidR="00326322" w:rsidRPr="003117F7" w:rsidRDefault="00326322" w:rsidP="00326322">
      <w:pPr>
        <w:autoSpaceDE w:val="0"/>
        <w:autoSpaceDN w:val="0"/>
        <w:adjustRightInd w:val="0"/>
        <w:ind w:left="240"/>
        <w:rPr>
          <w:rFonts w:cs="Calibri"/>
        </w:rPr>
      </w:pPr>
      <w:r>
        <w:rPr>
          <w:rFonts w:cs="Calibri"/>
          <w:bCs/>
        </w:rPr>
        <w:t xml:space="preserve"> Also, </w:t>
      </w:r>
      <w:r>
        <w:rPr>
          <w:rFonts w:cs="Calibri"/>
        </w:rPr>
        <w:t>t</w:t>
      </w:r>
      <w:r w:rsidRPr="003117F7">
        <w:rPr>
          <w:rFonts w:cs="Calibri"/>
        </w:rPr>
        <w:t xml:space="preserve">he Department is issuing </w:t>
      </w:r>
      <w:r>
        <w:rPr>
          <w:rFonts w:cs="Calibri"/>
        </w:rPr>
        <w:t>Amendment #1 as clarification</w:t>
      </w:r>
      <w:r w:rsidRPr="003117F7">
        <w:rPr>
          <w:rFonts w:cs="Calibri"/>
        </w:rPr>
        <w:t xml:space="preserve"> </w:t>
      </w:r>
      <w:r>
        <w:rPr>
          <w:rFonts w:cs="Calibri"/>
        </w:rPr>
        <w:t>to</w:t>
      </w:r>
      <w:r w:rsidRPr="003117F7">
        <w:rPr>
          <w:rFonts w:cs="Calibri"/>
        </w:rPr>
        <w:t>:</w:t>
      </w:r>
    </w:p>
    <w:p w14:paraId="5578FC60" w14:textId="06B2E29C" w:rsidR="00326322" w:rsidRDefault="00326322" w:rsidP="00326322">
      <w:pPr>
        <w:numPr>
          <w:ilvl w:val="0"/>
          <w:numId w:val="1"/>
        </w:numPr>
        <w:autoSpaceDE w:val="0"/>
        <w:autoSpaceDN w:val="0"/>
        <w:adjustRightInd w:val="0"/>
        <w:spacing w:after="240"/>
        <w:ind w:left="1440"/>
        <w:rPr>
          <w:rFonts w:cs="Arial"/>
        </w:rPr>
      </w:pPr>
      <w:r>
        <w:rPr>
          <w:rFonts w:cs="Arial"/>
        </w:rPr>
        <w:t xml:space="preserve">Amend the Schedule of Events; </w:t>
      </w:r>
    </w:p>
    <w:p w14:paraId="17AC3605" w14:textId="6688D813" w:rsidR="00F2717A" w:rsidRPr="00F2717A" w:rsidRDefault="00F2717A" w:rsidP="00F2717A">
      <w:pPr>
        <w:numPr>
          <w:ilvl w:val="0"/>
          <w:numId w:val="1"/>
        </w:numPr>
        <w:autoSpaceDE w:val="0"/>
        <w:autoSpaceDN w:val="0"/>
        <w:adjustRightInd w:val="0"/>
        <w:spacing w:after="240"/>
        <w:ind w:left="1440"/>
        <w:rPr>
          <w:rFonts w:cs="Arial"/>
        </w:rPr>
      </w:pPr>
      <w:r>
        <w:rPr>
          <w:rFonts w:cs="Arial"/>
        </w:rPr>
        <w:t xml:space="preserve">Amend Section 1.3, Background </w:t>
      </w:r>
      <w:proofErr w:type="gramStart"/>
      <w:r>
        <w:rPr>
          <w:rFonts w:cs="Arial"/>
        </w:rPr>
        <w:t>in order to</w:t>
      </w:r>
      <w:proofErr w:type="gramEnd"/>
      <w:r>
        <w:rPr>
          <w:rFonts w:cs="Arial"/>
        </w:rPr>
        <w:t xml:space="preserve"> update the current number of agreements between FIs and the Department.</w:t>
      </w:r>
    </w:p>
    <w:p w14:paraId="4C28A480" w14:textId="32BFDB66" w:rsidR="00326322" w:rsidRPr="003117F7" w:rsidRDefault="00326322" w:rsidP="00326322">
      <w:pPr>
        <w:ind w:left="240"/>
        <w:jc w:val="both"/>
        <w:rPr>
          <w:rFonts w:cs="Arial"/>
        </w:rPr>
      </w:pPr>
      <w:r>
        <w:rPr>
          <w:rFonts w:cs="Arial"/>
        </w:rPr>
        <w:t xml:space="preserve">Replacement </w:t>
      </w:r>
      <w:r w:rsidRPr="003117F7">
        <w:rPr>
          <w:rFonts w:cs="Arial"/>
        </w:rPr>
        <w:t>pages</w:t>
      </w:r>
      <w:r>
        <w:rPr>
          <w:rFonts w:cs="Arial"/>
        </w:rPr>
        <w:t xml:space="preserve"> follow</w:t>
      </w:r>
      <w:r w:rsidRPr="003117F7">
        <w:rPr>
          <w:rFonts w:cs="Arial"/>
        </w:rPr>
        <w:t xml:space="preserve">.  All </w:t>
      </w:r>
      <w:r>
        <w:rPr>
          <w:rFonts w:cs="Arial"/>
        </w:rPr>
        <w:t>deletions are shown as blue strike-through text and all additions are</w:t>
      </w:r>
      <w:r w:rsidRPr="003117F7">
        <w:rPr>
          <w:rFonts w:cs="Arial"/>
        </w:rPr>
        <w:t xml:space="preserve"> </w:t>
      </w:r>
      <w:r>
        <w:rPr>
          <w:rFonts w:cs="Arial"/>
        </w:rPr>
        <w:t xml:space="preserve">made </w:t>
      </w:r>
      <w:r w:rsidRPr="003117F7">
        <w:rPr>
          <w:rFonts w:cs="Arial"/>
        </w:rPr>
        <w:t>in red</w:t>
      </w:r>
      <w:r>
        <w:rPr>
          <w:rFonts w:cs="Arial"/>
        </w:rPr>
        <w:t xml:space="preserve"> text</w:t>
      </w:r>
      <w:r w:rsidRPr="003117F7">
        <w:rPr>
          <w:rFonts w:cs="Arial"/>
        </w:rPr>
        <w:t>.</w:t>
      </w:r>
    </w:p>
    <w:p w14:paraId="27EE745A" w14:textId="1031BA04" w:rsidR="00326322" w:rsidRDefault="00326322" w:rsidP="00326322">
      <w:pPr>
        <w:ind w:left="240"/>
        <w:rPr>
          <w:rFonts w:cs="Arial"/>
        </w:rPr>
      </w:pPr>
      <w:r w:rsidRPr="003117F7">
        <w:rPr>
          <w:rFonts w:cs="Arial"/>
        </w:rPr>
        <w:t xml:space="preserve">All other requirements and conditions </w:t>
      </w:r>
      <w:r>
        <w:rPr>
          <w:rFonts w:cs="Arial"/>
        </w:rPr>
        <w:t>remain as indicated in the RFP.</w:t>
      </w:r>
    </w:p>
    <w:p w14:paraId="01F26748" w14:textId="09030607" w:rsidR="00326322" w:rsidRDefault="00326322" w:rsidP="00326322">
      <w:pPr>
        <w:ind w:left="240"/>
        <w:rPr>
          <w:rFonts w:cs="Arial"/>
        </w:rPr>
      </w:pPr>
      <w:r>
        <w:rPr>
          <w:rFonts w:cs="Arial"/>
        </w:rPr>
        <w:t xml:space="preserve">All proposals must be received no later </w:t>
      </w:r>
      <w:r w:rsidR="00F2717A">
        <w:rPr>
          <w:rFonts w:cs="Arial"/>
        </w:rPr>
        <w:t xml:space="preserve">than the amended due date of </w:t>
      </w:r>
      <w:r w:rsidR="002D17DF">
        <w:rPr>
          <w:rFonts w:cs="Arial"/>
        </w:rPr>
        <w:t>2:00 PM EST</w:t>
      </w:r>
      <w:r>
        <w:rPr>
          <w:rFonts w:cs="Arial"/>
        </w:rPr>
        <w:t xml:space="preserve">, </w:t>
      </w:r>
      <w:r w:rsidR="00CF303F">
        <w:rPr>
          <w:rFonts w:cs="Arial"/>
        </w:rPr>
        <w:t>January 1</w:t>
      </w:r>
      <w:r w:rsidR="00365A7A">
        <w:rPr>
          <w:rFonts w:cs="Arial"/>
        </w:rPr>
        <w:t>2</w:t>
      </w:r>
      <w:r w:rsidRPr="003854C5">
        <w:rPr>
          <w:rFonts w:cs="Arial"/>
        </w:rPr>
        <w:t>, 201</w:t>
      </w:r>
      <w:r w:rsidR="00040D4C">
        <w:rPr>
          <w:rFonts w:cs="Arial"/>
        </w:rPr>
        <w:t>8</w:t>
      </w:r>
      <w:r w:rsidRPr="003854C5">
        <w:rPr>
          <w:rFonts w:cs="Arial"/>
        </w:rPr>
        <w:t>.</w:t>
      </w:r>
    </w:p>
    <w:p w14:paraId="5EBE94BA" w14:textId="77777777" w:rsidR="00326322" w:rsidRDefault="00326322" w:rsidP="00B13013">
      <w:pPr>
        <w:rPr>
          <w:rFonts w:cstheme="minorHAnsi"/>
        </w:rPr>
        <w:sectPr w:rsidR="00326322" w:rsidSect="00577FA5">
          <w:headerReference w:type="default" r:id="rId12"/>
          <w:footerReference w:type="default" r:id="rId13"/>
          <w:headerReference w:type="first" r:id="rId14"/>
          <w:pgSz w:w="12240" w:h="15840"/>
          <w:pgMar w:top="900" w:right="1440" w:bottom="720" w:left="1440" w:header="720" w:footer="343" w:gutter="0"/>
          <w:cols w:space="720"/>
          <w:titlePg/>
          <w:docGrid w:linePitch="360"/>
        </w:sectPr>
      </w:pP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680"/>
        <w:gridCol w:w="997"/>
        <w:gridCol w:w="4883"/>
        <w:gridCol w:w="5827"/>
      </w:tblGrid>
      <w:tr w:rsidR="004A6048" w:rsidRPr="00917A57" w14:paraId="345FB90C" w14:textId="77777777" w:rsidTr="00872F56">
        <w:trPr>
          <w:tblHeader/>
        </w:trPr>
        <w:tc>
          <w:tcPr>
            <w:tcW w:w="828" w:type="dxa"/>
            <w:shd w:val="pct20" w:color="auto" w:fill="auto"/>
          </w:tcPr>
          <w:p w14:paraId="1498B28B" w14:textId="77777777" w:rsidR="004A6048" w:rsidRPr="00917A57" w:rsidRDefault="004A6048" w:rsidP="00B8759A">
            <w:pPr>
              <w:jc w:val="center"/>
              <w:rPr>
                <w:rFonts w:cstheme="minorHAnsi"/>
                <w:b/>
              </w:rPr>
            </w:pPr>
            <w:r w:rsidRPr="00917A57">
              <w:rPr>
                <w:rFonts w:cstheme="minorHAnsi"/>
                <w:b/>
              </w:rPr>
              <w:lastRenderedPageBreak/>
              <w:t>#</w:t>
            </w:r>
          </w:p>
        </w:tc>
        <w:tc>
          <w:tcPr>
            <w:tcW w:w="1680" w:type="dxa"/>
            <w:shd w:val="pct20" w:color="auto" w:fill="auto"/>
          </w:tcPr>
          <w:p w14:paraId="410648E6" w14:textId="77777777" w:rsidR="004A6048" w:rsidRPr="00917A57" w:rsidRDefault="004A6048" w:rsidP="00B8759A">
            <w:pPr>
              <w:jc w:val="center"/>
              <w:rPr>
                <w:rFonts w:cstheme="minorHAnsi"/>
                <w:b/>
              </w:rPr>
            </w:pPr>
            <w:r w:rsidRPr="00917A57">
              <w:rPr>
                <w:rFonts w:cstheme="minorHAnsi"/>
                <w:b/>
              </w:rPr>
              <w:t>RFP Section</w:t>
            </w:r>
          </w:p>
        </w:tc>
        <w:tc>
          <w:tcPr>
            <w:tcW w:w="997" w:type="dxa"/>
            <w:shd w:val="pct20" w:color="auto" w:fill="auto"/>
          </w:tcPr>
          <w:p w14:paraId="2927878F" w14:textId="77777777" w:rsidR="004A6048" w:rsidRPr="00917A57" w:rsidRDefault="004A6048" w:rsidP="00B8759A">
            <w:pPr>
              <w:jc w:val="center"/>
              <w:rPr>
                <w:rFonts w:cstheme="minorHAnsi"/>
                <w:b/>
              </w:rPr>
            </w:pPr>
            <w:r w:rsidRPr="00917A57">
              <w:rPr>
                <w:rFonts w:cstheme="minorHAnsi"/>
                <w:b/>
              </w:rPr>
              <w:t>RFP Page #</w:t>
            </w:r>
          </w:p>
        </w:tc>
        <w:tc>
          <w:tcPr>
            <w:tcW w:w="4883" w:type="dxa"/>
            <w:shd w:val="pct20" w:color="auto" w:fill="auto"/>
          </w:tcPr>
          <w:p w14:paraId="6C8830EB" w14:textId="77777777" w:rsidR="004A6048" w:rsidRPr="00917A57" w:rsidRDefault="004A6048" w:rsidP="00B8759A">
            <w:pPr>
              <w:jc w:val="center"/>
              <w:rPr>
                <w:rFonts w:cstheme="minorHAnsi"/>
                <w:b/>
              </w:rPr>
            </w:pPr>
            <w:r w:rsidRPr="00917A57">
              <w:rPr>
                <w:rFonts w:cstheme="minorHAnsi"/>
                <w:b/>
              </w:rPr>
              <w:t>Question</w:t>
            </w:r>
          </w:p>
        </w:tc>
        <w:tc>
          <w:tcPr>
            <w:tcW w:w="5827" w:type="dxa"/>
            <w:shd w:val="pct20" w:color="auto" w:fill="auto"/>
          </w:tcPr>
          <w:p w14:paraId="3FC99B83" w14:textId="77777777" w:rsidR="004A6048" w:rsidRPr="00917A57" w:rsidRDefault="004A6048" w:rsidP="00B8759A">
            <w:pPr>
              <w:jc w:val="center"/>
              <w:rPr>
                <w:rFonts w:cstheme="minorHAnsi"/>
                <w:b/>
              </w:rPr>
            </w:pPr>
            <w:r w:rsidRPr="00917A57">
              <w:rPr>
                <w:rFonts w:cstheme="minorHAnsi"/>
                <w:b/>
              </w:rPr>
              <w:t>Answer</w:t>
            </w:r>
          </w:p>
        </w:tc>
      </w:tr>
      <w:tr w:rsidR="004A6048" w:rsidRPr="00917A57" w14:paraId="040F0446" w14:textId="77777777" w:rsidTr="00872F56">
        <w:tc>
          <w:tcPr>
            <w:tcW w:w="828" w:type="dxa"/>
          </w:tcPr>
          <w:p w14:paraId="574ACDA3" w14:textId="77777777" w:rsidR="004A6048" w:rsidRPr="00917A57" w:rsidRDefault="004A6048" w:rsidP="00B8759A">
            <w:pPr>
              <w:jc w:val="center"/>
              <w:rPr>
                <w:rFonts w:cstheme="minorHAnsi"/>
              </w:rPr>
            </w:pPr>
            <w:r w:rsidRPr="00917A57">
              <w:rPr>
                <w:rFonts w:cstheme="minorHAnsi"/>
              </w:rPr>
              <w:t>1</w:t>
            </w:r>
          </w:p>
        </w:tc>
        <w:tc>
          <w:tcPr>
            <w:tcW w:w="1680" w:type="dxa"/>
          </w:tcPr>
          <w:p w14:paraId="0CF71EF8" w14:textId="77777777" w:rsidR="00A01250" w:rsidRDefault="00A01250" w:rsidP="00A01250">
            <w:pPr>
              <w:jc w:val="center"/>
              <w:rPr>
                <w:rFonts w:cstheme="minorHAnsi"/>
              </w:rPr>
            </w:pPr>
            <w:r>
              <w:rPr>
                <w:rFonts w:cstheme="minorHAnsi"/>
              </w:rPr>
              <w:t>1.3</w:t>
            </w:r>
          </w:p>
          <w:p w14:paraId="6BBFBC9B" w14:textId="5B23F191" w:rsidR="00A01250" w:rsidRPr="00917A57" w:rsidRDefault="00A01250" w:rsidP="00A01250">
            <w:pPr>
              <w:jc w:val="center"/>
              <w:rPr>
                <w:rFonts w:cstheme="minorHAnsi"/>
              </w:rPr>
            </w:pPr>
            <w:r>
              <w:rPr>
                <w:rFonts w:cstheme="minorHAnsi"/>
              </w:rPr>
              <w:t>Background</w:t>
            </w:r>
          </w:p>
        </w:tc>
        <w:tc>
          <w:tcPr>
            <w:tcW w:w="997" w:type="dxa"/>
          </w:tcPr>
          <w:p w14:paraId="35B370B5" w14:textId="7F6BDB05" w:rsidR="004A6048" w:rsidRPr="00917A57" w:rsidRDefault="00A01250" w:rsidP="00A01250">
            <w:pPr>
              <w:jc w:val="center"/>
              <w:rPr>
                <w:rFonts w:cstheme="minorHAnsi"/>
              </w:rPr>
            </w:pPr>
            <w:r>
              <w:rPr>
                <w:rFonts w:cstheme="minorHAnsi"/>
              </w:rPr>
              <w:t>9</w:t>
            </w:r>
          </w:p>
        </w:tc>
        <w:tc>
          <w:tcPr>
            <w:tcW w:w="4883" w:type="dxa"/>
          </w:tcPr>
          <w:p w14:paraId="1ACA828D" w14:textId="47628A60" w:rsidR="004A6048" w:rsidRPr="00917A57" w:rsidRDefault="00A01250" w:rsidP="00B8759A">
            <w:pPr>
              <w:rPr>
                <w:rFonts w:cstheme="minorHAnsi"/>
              </w:rPr>
            </w:pPr>
            <w:r w:rsidRPr="00A01250">
              <w:rPr>
                <w:rFonts w:cstheme="minorHAnsi"/>
              </w:rPr>
              <w:t xml:space="preserve">Will DTF provide the successful bidder the list and relevant data including FI address, contact information, match method, match schedule and file transfer preference on the 570 FIs currently participating? </w:t>
            </w:r>
          </w:p>
        </w:tc>
        <w:tc>
          <w:tcPr>
            <w:tcW w:w="5827" w:type="dxa"/>
          </w:tcPr>
          <w:p w14:paraId="65FF0927" w14:textId="3D162D86" w:rsidR="004A6048" w:rsidRPr="00917A57" w:rsidRDefault="004A6048" w:rsidP="00B8759A">
            <w:pPr>
              <w:rPr>
                <w:rFonts w:cstheme="minorHAnsi"/>
              </w:rPr>
            </w:pPr>
            <w:r w:rsidRPr="00917A57">
              <w:rPr>
                <w:rFonts w:cstheme="minorHAnsi"/>
              </w:rPr>
              <w:t>Yes</w:t>
            </w:r>
            <w:r w:rsidR="00A01250">
              <w:rPr>
                <w:rFonts w:cstheme="minorHAnsi"/>
              </w:rPr>
              <w:t>.</w:t>
            </w:r>
          </w:p>
        </w:tc>
      </w:tr>
      <w:tr w:rsidR="004A6048" w:rsidRPr="00AD0E55" w14:paraId="3F5DA2C8" w14:textId="77777777" w:rsidTr="00872F56">
        <w:tc>
          <w:tcPr>
            <w:tcW w:w="828" w:type="dxa"/>
          </w:tcPr>
          <w:p w14:paraId="4F23A282" w14:textId="77777777" w:rsidR="004A6048" w:rsidRPr="00917A57" w:rsidRDefault="004A6048" w:rsidP="00B8759A">
            <w:pPr>
              <w:jc w:val="center"/>
              <w:rPr>
                <w:rFonts w:cstheme="minorHAnsi"/>
              </w:rPr>
            </w:pPr>
            <w:r w:rsidRPr="00917A57">
              <w:rPr>
                <w:rFonts w:cstheme="minorHAnsi"/>
              </w:rPr>
              <w:t>2</w:t>
            </w:r>
          </w:p>
        </w:tc>
        <w:tc>
          <w:tcPr>
            <w:tcW w:w="1680" w:type="dxa"/>
          </w:tcPr>
          <w:p w14:paraId="2518B436" w14:textId="3FC63BFB" w:rsidR="00A01250" w:rsidRDefault="00A01250" w:rsidP="00A01250">
            <w:pPr>
              <w:jc w:val="center"/>
              <w:rPr>
                <w:rFonts w:cstheme="minorHAnsi"/>
              </w:rPr>
            </w:pPr>
            <w:r>
              <w:rPr>
                <w:rFonts w:cstheme="minorHAnsi"/>
              </w:rPr>
              <w:t>1.4</w:t>
            </w:r>
          </w:p>
          <w:p w14:paraId="251E2E18" w14:textId="58829847" w:rsidR="004A6048" w:rsidRPr="00917A57" w:rsidRDefault="00A01250" w:rsidP="00A01250">
            <w:pPr>
              <w:jc w:val="center"/>
              <w:rPr>
                <w:rFonts w:cstheme="minorHAnsi"/>
              </w:rPr>
            </w:pPr>
            <w:r>
              <w:rPr>
                <w:rFonts w:cstheme="minorHAnsi"/>
              </w:rPr>
              <w:t>Scope of Services</w:t>
            </w:r>
          </w:p>
        </w:tc>
        <w:tc>
          <w:tcPr>
            <w:tcW w:w="997" w:type="dxa"/>
          </w:tcPr>
          <w:p w14:paraId="11DB1288" w14:textId="6B6B63E9" w:rsidR="004A6048" w:rsidRPr="00917A57" w:rsidRDefault="00A01250" w:rsidP="00A01250">
            <w:pPr>
              <w:jc w:val="center"/>
              <w:rPr>
                <w:rFonts w:cstheme="minorHAnsi"/>
              </w:rPr>
            </w:pPr>
            <w:r>
              <w:rPr>
                <w:rFonts w:cstheme="minorHAnsi"/>
              </w:rPr>
              <w:t>11</w:t>
            </w:r>
          </w:p>
        </w:tc>
        <w:tc>
          <w:tcPr>
            <w:tcW w:w="4883" w:type="dxa"/>
          </w:tcPr>
          <w:p w14:paraId="1C62ADA5" w14:textId="241A298C" w:rsidR="004A6048" w:rsidRPr="00917A57" w:rsidRDefault="00A01250" w:rsidP="00B8759A">
            <w:pPr>
              <w:rPr>
                <w:rFonts w:cstheme="minorHAnsi"/>
              </w:rPr>
            </w:pPr>
            <w:r w:rsidRPr="00A01250">
              <w:rPr>
                <w:rFonts w:cstheme="minorHAnsi"/>
              </w:rPr>
              <w:t xml:space="preserve">2nd bullet: “Obtain signatures on a Memorandum of Agreement (MOA) between the FIs (including the ones matching currently) and NYS DTF.” Does the state envision the need to re-execute new agreements with the 570 FIs currently participating under this contract? </w:t>
            </w:r>
          </w:p>
        </w:tc>
        <w:tc>
          <w:tcPr>
            <w:tcW w:w="5827" w:type="dxa"/>
          </w:tcPr>
          <w:p w14:paraId="10AC5C4D" w14:textId="77777777" w:rsidR="004A6048" w:rsidRPr="00AD0E55" w:rsidRDefault="004A6048" w:rsidP="00B8759A">
            <w:pPr>
              <w:rPr>
                <w:rFonts w:cstheme="minorHAnsi"/>
              </w:rPr>
            </w:pPr>
            <w:r w:rsidRPr="00AD0E55">
              <w:rPr>
                <w:rFonts w:cstheme="minorHAnsi"/>
              </w:rPr>
              <w:t>Yes.</w:t>
            </w:r>
          </w:p>
        </w:tc>
      </w:tr>
      <w:tr w:rsidR="004A6048" w:rsidRPr="00917A57" w14:paraId="1AE0FAA3" w14:textId="77777777" w:rsidTr="00872F56">
        <w:tc>
          <w:tcPr>
            <w:tcW w:w="828" w:type="dxa"/>
          </w:tcPr>
          <w:p w14:paraId="063A9DF7" w14:textId="77777777" w:rsidR="004A6048" w:rsidRPr="00917A57" w:rsidRDefault="004A6048" w:rsidP="00B8759A">
            <w:pPr>
              <w:jc w:val="center"/>
              <w:rPr>
                <w:rFonts w:cstheme="minorHAnsi"/>
              </w:rPr>
            </w:pPr>
            <w:r w:rsidRPr="00917A57">
              <w:rPr>
                <w:rFonts w:cstheme="minorHAnsi"/>
              </w:rPr>
              <w:t>3</w:t>
            </w:r>
          </w:p>
        </w:tc>
        <w:tc>
          <w:tcPr>
            <w:tcW w:w="1680" w:type="dxa"/>
          </w:tcPr>
          <w:p w14:paraId="3394DB4D" w14:textId="77777777" w:rsidR="004A6048" w:rsidRDefault="00A01250" w:rsidP="00A01250">
            <w:pPr>
              <w:jc w:val="center"/>
              <w:rPr>
                <w:rFonts w:cstheme="minorHAnsi"/>
              </w:rPr>
            </w:pPr>
            <w:r>
              <w:rPr>
                <w:rFonts w:cstheme="minorHAnsi"/>
              </w:rPr>
              <w:t>3.7</w:t>
            </w:r>
          </w:p>
          <w:p w14:paraId="11CAAEE7" w14:textId="25CD6CFC" w:rsidR="00A01250" w:rsidRPr="00917A57" w:rsidRDefault="00A01250" w:rsidP="00A01250">
            <w:pPr>
              <w:jc w:val="center"/>
              <w:rPr>
                <w:rFonts w:cstheme="minorHAnsi"/>
              </w:rPr>
            </w:pPr>
            <w:r>
              <w:rPr>
                <w:rFonts w:cstheme="minorHAnsi"/>
              </w:rPr>
              <w:t>IT System Requirements</w:t>
            </w:r>
          </w:p>
        </w:tc>
        <w:tc>
          <w:tcPr>
            <w:tcW w:w="997" w:type="dxa"/>
          </w:tcPr>
          <w:p w14:paraId="27A480CD" w14:textId="2CA6C8DD" w:rsidR="004A6048" w:rsidRPr="00917A57" w:rsidRDefault="00A01250" w:rsidP="00A01250">
            <w:pPr>
              <w:jc w:val="center"/>
              <w:rPr>
                <w:rFonts w:cstheme="minorHAnsi"/>
              </w:rPr>
            </w:pPr>
            <w:r>
              <w:rPr>
                <w:rFonts w:cstheme="minorHAnsi"/>
              </w:rPr>
              <w:t>17</w:t>
            </w:r>
          </w:p>
        </w:tc>
        <w:tc>
          <w:tcPr>
            <w:tcW w:w="4883" w:type="dxa"/>
          </w:tcPr>
          <w:p w14:paraId="031F05CD" w14:textId="38094A49" w:rsidR="004A6048" w:rsidRPr="00917A57" w:rsidRDefault="00A01250" w:rsidP="00A01250">
            <w:pPr>
              <w:rPr>
                <w:rFonts w:cstheme="minorHAnsi"/>
              </w:rPr>
            </w:pPr>
            <w:r w:rsidRPr="00A01250">
              <w:rPr>
                <w:rFonts w:cstheme="minorHAnsi"/>
              </w:rPr>
              <w:t xml:space="preserve">Are all 25 policies listed under the state’s security policies found at </w:t>
            </w:r>
            <w:hyperlink r:id="rId15" w:history="1">
              <w:r w:rsidR="000A1073" w:rsidRPr="00D33B1E">
                <w:rPr>
                  <w:rStyle w:val="Hyperlink"/>
                  <w:rFonts w:cstheme="minorHAnsi"/>
                </w:rPr>
                <w:t>http://www.its.ny.gov/eiso/policies/security</w:t>
              </w:r>
            </w:hyperlink>
            <w:r w:rsidR="000A1073">
              <w:rPr>
                <w:rFonts w:cstheme="minorHAnsi"/>
              </w:rPr>
              <w:t xml:space="preserve"> </w:t>
            </w:r>
            <w:r w:rsidRPr="00A01250">
              <w:rPr>
                <w:rFonts w:cstheme="minorHAnsi"/>
              </w:rPr>
              <w:t xml:space="preserve"> currently applicable to this project and the incumbent? If not, is the incumbent required to upgrade their solution to be compliant with these security policies, if selected under this procurement?</w:t>
            </w:r>
          </w:p>
        </w:tc>
        <w:tc>
          <w:tcPr>
            <w:tcW w:w="5827" w:type="dxa"/>
          </w:tcPr>
          <w:p w14:paraId="04165C1C" w14:textId="3E772708" w:rsidR="00A01250" w:rsidRDefault="00A01250" w:rsidP="00A01250">
            <w:r>
              <w:t>It is possible that</w:t>
            </w:r>
            <w:r w:rsidR="00964915">
              <w:t xml:space="preserve"> the scope of</w:t>
            </w:r>
            <w:r>
              <w:t xml:space="preserve"> some policies and standards </w:t>
            </w:r>
            <w:r w:rsidR="00964915">
              <w:t xml:space="preserve">would not apply </w:t>
            </w:r>
            <w:r>
              <w:t>to the vendor’s proposed solution.</w:t>
            </w:r>
            <w:r w:rsidR="00536F7C">
              <w:t xml:space="preserve">  The Bidder is responsible for identifying and complying with </w:t>
            </w:r>
            <w:r w:rsidR="00F2717A">
              <w:t xml:space="preserve">all </w:t>
            </w:r>
            <w:r w:rsidR="00536F7C">
              <w:t>applicable State security policies.</w:t>
            </w:r>
            <w:r>
              <w:t xml:space="preserve"> </w:t>
            </w:r>
          </w:p>
          <w:p w14:paraId="7BFAEC56" w14:textId="77777777" w:rsidR="00A01250" w:rsidRDefault="00A01250" w:rsidP="00A01250">
            <w:r>
              <w:t>Some exceptions to this scoping are:</w:t>
            </w:r>
          </w:p>
          <w:p w14:paraId="6449A091" w14:textId="77777777" w:rsidR="00A01250" w:rsidRDefault="00A01250" w:rsidP="00A01250">
            <w:r>
              <w:t>CPE Requirements for ISOs/Designated Security Representatives Standard</w:t>
            </w:r>
          </w:p>
          <w:p w14:paraId="77A1C84B" w14:textId="77777777" w:rsidR="00A01250" w:rsidRDefault="00A01250" w:rsidP="00A01250">
            <w:r>
              <w:t>New York State Cyber Incident Reporting Procedures</w:t>
            </w:r>
          </w:p>
          <w:p w14:paraId="148DDB7C" w14:textId="77777777" w:rsidR="00A01250" w:rsidRDefault="00A01250" w:rsidP="00A01250">
            <w:r>
              <w:t>Acceptable Use of Information Technology Resources</w:t>
            </w:r>
          </w:p>
          <w:p w14:paraId="7FF9528D" w14:textId="475C034E" w:rsidR="004A6048" w:rsidRPr="00326322" w:rsidRDefault="00A01250" w:rsidP="00B8759A">
            <w:r>
              <w:t>Secure Use of Social Media Standard</w:t>
            </w:r>
          </w:p>
        </w:tc>
      </w:tr>
      <w:tr w:rsidR="004A6048" w:rsidRPr="00917A57" w14:paraId="60F47B0E" w14:textId="77777777" w:rsidTr="00872F56">
        <w:trPr>
          <w:trHeight w:val="1412"/>
        </w:trPr>
        <w:tc>
          <w:tcPr>
            <w:tcW w:w="828" w:type="dxa"/>
          </w:tcPr>
          <w:p w14:paraId="43FC0C2B" w14:textId="77777777" w:rsidR="004A6048" w:rsidRPr="00917A57" w:rsidRDefault="004A6048" w:rsidP="00B8759A">
            <w:pPr>
              <w:jc w:val="center"/>
              <w:rPr>
                <w:rFonts w:cstheme="minorHAnsi"/>
              </w:rPr>
            </w:pPr>
            <w:r w:rsidRPr="00917A57">
              <w:rPr>
                <w:rFonts w:cstheme="minorHAnsi"/>
              </w:rPr>
              <w:lastRenderedPageBreak/>
              <w:t xml:space="preserve"> 4</w:t>
            </w:r>
          </w:p>
        </w:tc>
        <w:tc>
          <w:tcPr>
            <w:tcW w:w="1680" w:type="dxa"/>
          </w:tcPr>
          <w:p w14:paraId="376B9601" w14:textId="2672FF5C" w:rsidR="003F7F68" w:rsidRPr="00917A57" w:rsidRDefault="00872F56" w:rsidP="00B8759A">
            <w:pPr>
              <w:jc w:val="center"/>
              <w:rPr>
                <w:rFonts w:cstheme="minorHAnsi"/>
              </w:rPr>
            </w:pPr>
            <w:r>
              <w:rPr>
                <w:rFonts w:cstheme="minorHAnsi"/>
              </w:rPr>
              <w:t>5</w:t>
            </w:r>
          </w:p>
        </w:tc>
        <w:tc>
          <w:tcPr>
            <w:tcW w:w="997" w:type="dxa"/>
          </w:tcPr>
          <w:p w14:paraId="356669AC" w14:textId="42FD3D57" w:rsidR="004A6048" w:rsidRPr="00917A57" w:rsidRDefault="003F7F68" w:rsidP="00B8759A">
            <w:pPr>
              <w:jc w:val="center"/>
              <w:rPr>
                <w:rFonts w:cstheme="minorHAnsi"/>
              </w:rPr>
            </w:pPr>
            <w:r>
              <w:rPr>
                <w:rFonts w:cstheme="minorHAnsi"/>
              </w:rPr>
              <w:t>28</w:t>
            </w:r>
          </w:p>
        </w:tc>
        <w:tc>
          <w:tcPr>
            <w:tcW w:w="4883" w:type="dxa"/>
          </w:tcPr>
          <w:p w14:paraId="07D6D780" w14:textId="77777777" w:rsidR="003F7F68" w:rsidRPr="003F7F68" w:rsidRDefault="003F7F68" w:rsidP="003F7F68">
            <w:pPr>
              <w:pStyle w:val="Default"/>
              <w:rPr>
                <w:rFonts w:asciiTheme="minorHAnsi" w:hAnsiTheme="minorHAnsi" w:cstheme="minorHAnsi"/>
                <w:color w:val="auto"/>
                <w:sz w:val="22"/>
                <w:szCs w:val="22"/>
              </w:rPr>
            </w:pPr>
            <w:r w:rsidRPr="003F7F68">
              <w:rPr>
                <w:rFonts w:asciiTheme="minorHAnsi" w:hAnsiTheme="minorHAnsi" w:cstheme="minorHAnsi"/>
                <w:color w:val="auto"/>
                <w:sz w:val="22"/>
                <w:szCs w:val="22"/>
              </w:rPr>
              <w:t xml:space="preserve">Would the state be willing waive the MWBE requirement for this contract given the fact that (1) potential vendors who meet the State’s requirements have existing operations serving other states and (2) these existing operations are small, efficient and have a history of successful service delivery. There is not a need to add 3rd party providers to support existing operations without increasing fees that would be charged to New York. </w:t>
            </w:r>
          </w:p>
          <w:p w14:paraId="34F0C600" w14:textId="08271A9C" w:rsidR="004A6048" w:rsidRPr="00917A57" w:rsidRDefault="004A6048" w:rsidP="00B8759A">
            <w:pPr>
              <w:tabs>
                <w:tab w:val="left" w:pos="1365"/>
              </w:tabs>
              <w:rPr>
                <w:rFonts w:cstheme="minorHAnsi"/>
              </w:rPr>
            </w:pPr>
          </w:p>
        </w:tc>
        <w:tc>
          <w:tcPr>
            <w:tcW w:w="5827" w:type="dxa"/>
          </w:tcPr>
          <w:p w14:paraId="2DF0935E" w14:textId="151DF8EB" w:rsidR="003F7F68" w:rsidRDefault="001940BE" w:rsidP="003F7F68">
            <w:r>
              <w:t>T</w:t>
            </w:r>
            <w:bookmarkStart w:id="0" w:name="_GoBack"/>
            <w:bookmarkEnd w:id="0"/>
            <w:r w:rsidR="003F7F68">
              <w:t>he Contractor is expected to comply with the established MWBE goals.</w:t>
            </w:r>
          </w:p>
          <w:p w14:paraId="6A086037" w14:textId="24BB3BC6" w:rsidR="003F7F68" w:rsidRDefault="003F7F68" w:rsidP="003F7F68">
            <w:r>
              <w:t>As stated in section 6.2.5 of the RFP, “</w:t>
            </w:r>
            <w:r w:rsidRPr="00386D25">
              <w:t xml:space="preserve">Pursuant to New York State Executive Law Article 15-A and Parts 140-145 of Title 5 of the New York Codes, Rules and Regulations, the Department is </w:t>
            </w:r>
            <w:r w:rsidRPr="003F7F68">
              <w:t>required</w:t>
            </w:r>
            <w:r w:rsidRPr="00386D25">
              <w:t xml:space="preserve"> to promote opportunities for the </w:t>
            </w:r>
            <w:r w:rsidRPr="003F7F68">
              <w:t>maximum</w:t>
            </w:r>
            <w:r w:rsidRPr="00386D25">
              <w:t xml:space="preserve"> feasible participation of New York State-certified Minority and Women-owned Business Enterprises (“MWBEs”) </w:t>
            </w:r>
            <w:r>
              <w:t xml:space="preserve">…”. During the Department’s process of determining if participation by MWBEs was feasible, the Department identified </w:t>
            </w:r>
            <w:proofErr w:type="gramStart"/>
            <w:r>
              <w:t>a number of</w:t>
            </w:r>
            <w:proofErr w:type="gramEnd"/>
            <w:r>
              <w:t xml:space="preserve"> MWBEs available for subcontracting opportunities. Accordingly, the Department established the stated 30% goal for MWBE participation (15% MBE and 15% WBE).</w:t>
            </w:r>
          </w:p>
          <w:p w14:paraId="13E8B1AA" w14:textId="12F87027" w:rsidR="001940BE" w:rsidRPr="003F7F68" w:rsidRDefault="003F7F68" w:rsidP="003F7F68">
            <w:r>
              <w:t xml:space="preserve">Bidders are required to make good faith efforts to provide meaningful participation by MWBEs. </w:t>
            </w:r>
            <w:r w:rsidRPr="003F7F68">
              <w:t>A Bidder failing to meet the stated MWBE goals must, at a minimum, document its good faith efforts to engage a certified MWBE in the performance of this contract; otherwise, the bid may be deemed non-responsive and disqualified from contract award.</w:t>
            </w:r>
          </w:p>
        </w:tc>
      </w:tr>
      <w:tr w:rsidR="003F7F68" w:rsidRPr="00917A57" w14:paraId="73980253" w14:textId="77777777" w:rsidTr="00872F56">
        <w:trPr>
          <w:trHeight w:val="1880"/>
        </w:trPr>
        <w:tc>
          <w:tcPr>
            <w:tcW w:w="828" w:type="dxa"/>
          </w:tcPr>
          <w:p w14:paraId="42E05702" w14:textId="73BCDE87" w:rsidR="003F7F68" w:rsidRPr="00917A57" w:rsidRDefault="003F7F68" w:rsidP="00B8759A">
            <w:pPr>
              <w:jc w:val="center"/>
              <w:rPr>
                <w:rFonts w:cstheme="minorHAnsi"/>
              </w:rPr>
            </w:pPr>
            <w:r>
              <w:rPr>
                <w:rFonts w:cstheme="minorHAnsi"/>
              </w:rPr>
              <w:lastRenderedPageBreak/>
              <w:t>5</w:t>
            </w:r>
          </w:p>
        </w:tc>
        <w:tc>
          <w:tcPr>
            <w:tcW w:w="1680" w:type="dxa"/>
          </w:tcPr>
          <w:p w14:paraId="6BCA1366" w14:textId="77777777" w:rsidR="003F7F68" w:rsidRDefault="003F7F68" w:rsidP="00B8759A">
            <w:pPr>
              <w:jc w:val="center"/>
              <w:rPr>
                <w:rFonts w:cstheme="minorHAnsi"/>
              </w:rPr>
            </w:pPr>
            <w:r>
              <w:rPr>
                <w:rFonts w:cstheme="minorHAnsi"/>
              </w:rPr>
              <w:t xml:space="preserve">6.2.22 </w:t>
            </w:r>
          </w:p>
          <w:p w14:paraId="3376BFFE" w14:textId="55AA6BEB" w:rsidR="003F7F68" w:rsidRDefault="003F7F68" w:rsidP="00872F56">
            <w:pPr>
              <w:jc w:val="center"/>
              <w:rPr>
                <w:rFonts w:cstheme="minorHAnsi"/>
              </w:rPr>
            </w:pPr>
          </w:p>
        </w:tc>
        <w:tc>
          <w:tcPr>
            <w:tcW w:w="997" w:type="dxa"/>
          </w:tcPr>
          <w:p w14:paraId="6DB04C10" w14:textId="21FB2601" w:rsidR="003F7F68" w:rsidRDefault="003F7F68" w:rsidP="00B8759A">
            <w:pPr>
              <w:jc w:val="center"/>
              <w:rPr>
                <w:rFonts w:cstheme="minorHAnsi"/>
              </w:rPr>
            </w:pPr>
            <w:r>
              <w:rPr>
                <w:rFonts w:cstheme="minorHAnsi"/>
              </w:rPr>
              <w:t>40</w:t>
            </w:r>
          </w:p>
        </w:tc>
        <w:tc>
          <w:tcPr>
            <w:tcW w:w="4883" w:type="dxa"/>
          </w:tcPr>
          <w:p w14:paraId="1F62E505" w14:textId="1C48A7A5" w:rsidR="003F7F68" w:rsidRPr="003F7F68" w:rsidRDefault="003F7F68" w:rsidP="003F7F68">
            <w:pPr>
              <w:pStyle w:val="Default"/>
              <w:rPr>
                <w:rFonts w:asciiTheme="minorHAnsi" w:hAnsiTheme="minorHAnsi" w:cstheme="minorHAnsi"/>
                <w:color w:val="auto"/>
                <w:sz w:val="22"/>
                <w:szCs w:val="22"/>
              </w:rPr>
            </w:pPr>
            <w:r w:rsidRPr="003F7F68">
              <w:rPr>
                <w:rFonts w:asciiTheme="minorHAnsi" w:hAnsiTheme="minorHAnsi" w:cstheme="minorHAnsi"/>
                <w:color w:val="auto"/>
                <w:sz w:val="22"/>
                <w:szCs w:val="22"/>
              </w:rPr>
              <w:t xml:space="preserve">Could the State confirm that the submission of Attachment 17 does not impact evaluation or scoring so as not to eliminate the ability for qualified vendors who perform this service outside the State of New York to 51 state agencies from responding to this RFP? </w:t>
            </w:r>
          </w:p>
        </w:tc>
        <w:tc>
          <w:tcPr>
            <w:tcW w:w="5827" w:type="dxa"/>
          </w:tcPr>
          <w:p w14:paraId="2FF8B72D" w14:textId="0A17F392" w:rsidR="003F7F68" w:rsidRPr="00326322" w:rsidRDefault="003F7F68" w:rsidP="00B8759A">
            <w:r>
              <w:t xml:space="preserve">Confirmed; </w:t>
            </w:r>
            <w:r w:rsidRPr="008F6D7F">
              <w:t>the submission of Attachment 17</w:t>
            </w:r>
            <w:r w:rsidR="00536F7C">
              <w:t>, Encouraging Use of New York State Business in Contract Performance,</w:t>
            </w:r>
            <w:r w:rsidRPr="008F6D7F">
              <w:t xml:space="preserve"> does not impact evaluation or scoring</w:t>
            </w:r>
            <w:r>
              <w:t>.</w:t>
            </w:r>
          </w:p>
        </w:tc>
      </w:tr>
      <w:tr w:rsidR="003F7F68" w:rsidRPr="00917A57" w14:paraId="7933FD1E" w14:textId="77777777" w:rsidTr="00872F56">
        <w:tc>
          <w:tcPr>
            <w:tcW w:w="828" w:type="dxa"/>
          </w:tcPr>
          <w:p w14:paraId="1697DC8D" w14:textId="5AD2E267" w:rsidR="003F7F68" w:rsidRPr="00917A57" w:rsidRDefault="003F7F68" w:rsidP="00B8759A">
            <w:pPr>
              <w:jc w:val="center"/>
              <w:rPr>
                <w:rFonts w:cstheme="minorHAnsi"/>
              </w:rPr>
            </w:pPr>
            <w:r>
              <w:rPr>
                <w:rFonts w:cstheme="minorHAnsi"/>
              </w:rPr>
              <w:t>6</w:t>
            </w:r>
          </w:p>
        </w:tc>
        <w:tc>
          <w:tcPr>
            <w:tcW w:w="1680" w:type="dxa"/>
          </w:tcPr>
          <w:p w14:paraId="5AF4D78D" w14:textId="05B88636" w:rsidR="003F7F68" w:rsidRDefault="003F7F68" w:rsidP="00B8759A">
            <w:pPr>
              <w:jc w:val="center"/>
              <w:rPr>
                <w:rFonts w:cstheme="minorHAnsi"/>
              </w:rPr>
            </w:pPr>
            <w:r>
              <w:rPr>
                <w:rFonts w:cstheme="minorHAnsi"/>
              </w:rPr>
              <w:t>Exhibits</w:t>
            </w:r>
          </w:p>
        </w:tc>
        <w:tc>
          <w:tcPr>
            <w:tcW w:w="997" w:type="dxa"/>
          </w:tcPr>
          <w:p w14:paraId="7DFE1D40" w14:textId="3C780968" w:rsidR="003F7F68" w:rsidRDefault="003F7F68" w:rsidP="00B8759A">
            <w:pPr>
              <w:jc w:val="center"/>
              <w:rPr>
                <w:rFonts w:cstheme="minorHAnsi"/>
              </w:rPr>
            </w:pPr>
            <w:r>
              <w:rPr>
                <w:rFonts w:cstheme="minorHAnsi"/>
              </w:rPr>
              <w:t>73</w:t>
            </w:r>
          </w:p>
        </w:tc>
        <w:tc>
          <w:tcPr>
            <w:tcW w:w="4883" w:type="dxa"/>
          </w:tcPr>
          <w:p w14:paraId="71133DCB" w14:textId="77777777" w:rsidR="003F7F68" w:rsidRPr="003F7F68" w:rsidRDefault="003F7F68" w:rsidP="003F7F68">
            <w:pPr>
              <w:pStyle w:val="Default"/>
              <w:rPr>
                <w:rFonts w:asciiTheme="minorHAnsi" w:hAnsiTheme="minorHAnsi" w:cstheme="minorHAnsi"/>
                <w:color w:val="auto"/>
                <w:sz w:val="22"/>
                <w:szCs w:val="22"/>
              </w:rPr>
            </w:pPr>
            <w:r w:rsidRPr="003F7F68">
              <w:rPr>
                <w:rFonts w:asciiTheme="minorHAnsi" w:hAnsiTheme="minorHAnsi" w:cstheme="minorHAnsi"/>
                <w:color w:val="auto"/>
                <w:sz w:val="22"/>
                <w:szCs w:val="22"/>
              </w:rPr>
              <w:t xml:space="preserve">The encryption section states: “All Data must be encrypted at all times…”: Does this also include encryption of data at rest for data that resides in the database or just file data located on a network? </w:t>
            </w:r>
          </w:p>
          <w:p w14:paraId="18B52912" w14:textId="77777777" w:rsidR="003F7F68" w:rsidRPr="003F7F68" w:rsidRDefault="003F7F68" w:rsidP="003F7F68">
            <w:pPr>
              <w:pStyle w:val="Default"/>
              <w:rPr>
                <w:rFonts w:asciiTheme="minorHAnsi" w:hAnsiTheme="minorHAnsi" w:cstheme="minorHAnsi"/>
                <w:color w:val="auto"/>
                <w:sz w:val="22"/>
                <w:szCs w:val="22"/>
              </w:rPr>
            </w:pPr>
          </w:p>
        </w:tc>
        <w:tc>
          <w:tcPr>
            <w:tcW w:w="5827" w:type="dxa"/>
          </w:tcPr>
          <w:p w14:paraId="78F56516" w14:textId="45459F6F" w:rsidR="00872F56" w:rsidRPr="00872F56" w:rsidRDefault="003F7F68" w:rsidP="00B8759A">
            <w:pPr>
              <w:rPr>
                <w:color w:val="0000FF" w:themeColor="hyperlink"/>
                <w:u w:val="single"/>
              </w:rPr>
            </w:pPr>
            <w:r>
              <w:t xml:space="preserve">Encryption </w:t>
            </w:r>
            <w:r w:rsidR="00B40F59">
              <w:t>is required for all data at rest, including data that resides in the database and file data located on a network</w:t>
            </w:r>
            <w:r>
              <w:t xml:space="preserve">. Encryption requirements are covered in IRS Pub 1075 and in the NYS Encryption Standard found at </w:t>
            </w:r>
            <w:hyperlink r:id="rId16" w:history="1">
              <w:r>
                <w:rPr>
                  <w:rStyle w:val="Hyperlink"/>
                </w:rPr>
                <w:t>http://www.its.ny.gov/eiso/policies/security</w:t>
              </w:r>
            </w:hyperlink>
            <w:r w:rsidR="00872F56">
              <w:t>.</w:t>
            </w:r>
          </w:p>
        </w:tc>
      </w:tr>
      <w:tr w:rsidR="003F7F68" w:rsidRPr="00917A57" w14:paraId="2E1EEED3" w14:textId="77777777" w:rsidTr="00872F56">
        <w:tc>
          <w:tcPr>
            <w:tcW w:w="828" w:type="dxa"/>
          </w:tcPr>
          <w:p w14:paraId="3EF1FF28" w14:textId="36AFA971" w:rsidR="003F7F68" w:rsidRPr="00917A57" w:rsidRDefault="003F7F68" w:rsidP="00B8759A">
            <w:pPr>
              <w:jc w:val="center"/>
              <w:rPr>
                <w:rFonts w:cstheme="minorHAnsi"/>
              </w:rPr>
            </w:pPr>
            <w:r>
              <w:rPr>
                <w:rFonts w:cstheme="minorHAnsi"/>
              </w:rPr>
              <w:t>7</w:t>
            </w:r>
          </w:p>
        </w:tc>
        <w:tc>
          <w:tcPr>
            <w:tcW w:w="1680" w:type="dxa"/>
          </w:tcPr>
          <w:p w14:paraId="64D676CC" w14:textId="5D2ED379" w:rsidR="003F7F68" w:rsidRDefault="003F7F68" w:rsidP="00B8759A">
            <w:pPr>
              <w:jc w:val="center"/>
              <w:rPr>
                <w:rFonts w:cstheme="minorHAnsi"/>
              </w:rPr>
            </w:pPr>
            <w:r>
              <w:rPr>
                <w:rFonts w:cstheme="minorHAnsi"/>
              </w:rPr>
              <w:t>Appendix A – Standard Clauses for NYS Contracts</w:t>
            </w:r>
          </w:p>
        </w:tc>
        <w:tc>
          <w:tcPr>
            <w:tcW w:w="997" w:type="dxa"/>
          </w:tcPr>
          <w:p w14:paraId="236F6611" w14:textId="77777777" w:rsidR="003F7F68" w:rsidRDefault="00872F56" w:rsidP="00B8759A">
            <w:pPr>
              <w:jc w:val="center"/>
              <w:rPr>
                <w:rFonts w:cstheme="minorHAnsi"/>
              </w:rPr>
            </w:pPr>
            <w:r>
              <w:rPr>
                <w:rFonts w:cstheme="minorHAnsi"/>
              </w:rPr>
              <w:t>Section 12</w:t>
            </w:r>
          </w:p>
          <w:p w14:paraId="12986513" w14:textId="09783419" w:rsidR="00872F56" w:rsidRDefault="00872F56" w:rsidP="00B8759A">
            <w:pPr>
              <w:jc w:val="center"/>
              <w:rPr>
                <w:rFonts w:cstheme="minorHAnsi"/>
              </w:rPr>
            </w:pPr>
            <w:r>
              <w:rPr>
                <w:rFonts w:cstheme="minorHAnsi"/>
              </w:rPr>
              <w:t>Page 6-7</w:t>
            </w:r>
          </w:p>
        </w:tc>
        <w:tc>
          <w:tcPr>
            <w:tcW w:w="4883" w:type="dxa"/>
          </w:tcPr>
          <w:p w14:paraId="7E7D6C52" w14:textId="77777777" w:rsidR="003F7F68" w:rsidRPr="003F7F68" w:rsidRDefault="003F7F68" w:rsidP="003F7F68">
            <w:pPr>
              <w:pStyle w:val="Default"/>
              <w:rPr>
                <w:rFonts w:asciiTheme="minorHAnsi" w:hAnsiTheme="minorHAnsi" w:cstheme="minorHAnsi"/>
                <w:color w:val="auto"/>
                <w:sz w:val="22"/>
                <w:szCs w:val="22"/>
              </w:rPr>
            </w:pPr>
            <w:r w:rsidRPr="003F7F68">
              <w:rPr>
                <w:rFonts w:asciiTheme="minorHAnsi" w:hAnsiTheme="minorHAnsi" w:cstheme="minorHAnsi"/>
                <w:color w:val="auto"/>
                <w:sz w:val="22"/>
                <w:szCs w:val="22"/>
              </w:rPr>
              <w:t xml:space="preserve">Please clarify if an affirmative action plan is required for a vendor who has no employees working in the State of NY. </w:t>
            </w:r>
          </w:p>
          <w:p w14:paraId="7B6A5221" w14:textId="77777777" w:rsidR="003F7F68" w:rsidRPr="003F7F68" w:rsidRDefault="003F7F68" w:rsidP="003F7F68">
            <w:pPr>
              <w:pStyle w:val="Default"/>
              <w:rPr>
                <w:rFonts w:asciiTheme="minorHAnsi" w:hAnsiTheme="minorHAnsi" w:cstheme="minorHAnsi"/>
                <w:color w:val="auto"/>
                <w:sz w:val="22"/>
                <w:szCs w:val="22"/>
              </w:rPr>
            </w:pPr>
          </w:p>
        </w:tc>
        <w:tc>
          <w:tcPr>
            <w:tcW w:w="5827" w:type="dxa"/>
          </w:tcPr>
          <w:p w14:paraId="38DDC016" w14:textId="53FF4CD9" w:rsidR="00326322" w:rsidRPr="000B509B" w:rsidRDefault="003F7F68" w:rsidP="00B8759A">
            <w:r>
              <w:t>As stated in Section 6.2.6 of the RFP, “</w:t>
            </w:r>
            <w:r w:rsidRPr="00056F22">
              <w:t xml:space="preserve">By submission of a bid or proposal in response to this solicitation, the respondent agrees with all of the terms and conditions of Appendix A – Standard Clauses for </w:t>
            </w:r>
            <w:r w:rsidR="00872F56">
              <w:t>NYS</w:t>
            </w:r>
            <w:r w:rsidRPr="00056F22">
              <w:t xml:space="preserve"> Contracts including Clause 12 - Equal Employment Opportunities for Minorities and Women.</w:t>
            </w:r>
            <w:r>
              <w:t xml:space="preserve">” To ensure compliance with Appendix A, Section 12, bidders are required to submit </w:t>
            </w:r>
            <w:r w:rsidRPr="00F613C0">
              <w:t>a Minority and Women-Owned Business Enterprise - Equal Employment Opportunity Policy Statement, Exhibit F, to the Depa</w:t>
            </w:r>
            <w:r>
              <w:t xml:space="preserve">rtment with its bid or proposal as well as </w:t>
            </w:r>
            <w:r w:rsidRPr="00F613C0">
              <w:t>Attachment 5, Staffing Plan</w:t>
            </w:r>
            <w:r w:rsidR="00872F56">
              <w:t>,</w:t>
            </w:r>
            <w:r w:rsidRPr="00F613C0">
              <w:t xml:space="preserve"> identifying the anticipated workforce to be utilized on the Contract and if awarded a Contract, respondent shall submit a Workforce Utilization Report and shall require each of its Subcontractors to submit a Workforce Utilization Report, in such format as shall be required by the Department on a Quarterly basis during the </w:t>
            </w:r>
            <w:r w:rsidRPr="00F613C0">
              <w:lastRenderedPageBreak/>
              <w:t>term of the Contract.</w:t>
            </w:r>
            <w:r>
              <w:t xml:space="preserve"> However, as also stated in the same RFP section</w:t>
            </w:r>
            <w:r w:rsidR="00872F56">
              <w:t>,</w:t>
            </w:r>
            <w:r>
              <w:t xml:space="preserve"> “</w:t>
            </w:r>
            <w:r w:rsidRPr="00F613C0">
              <w:t>This</w:t>
            </w:r>
            <w:r>
              <w:t xml:space="preserve"> requirement does not apply to:</w:t>
            </w:r>
            <w:r w:rsidRPr="00F613C0">
              <w:t xml:space="preserve"> (i) work, goods, or services unrelated to the Contract; or (ii) employment outside New York State.</w:t>
            </w:r>
            <w:r>
              <w:t>” A</w:t>
            </w:r>
            <w:r w:rsidR="00F96206">
              <w:t>s</w:t>
            </w:r>
            <w:r>
              <w:t xml:space="preserve"> such, Exhibit F (</w:t>
            </w:r>
            <w:r w:rsidRPr="00F613C0">
              <w:t>Minority and Women-Owned Business Enterprise - Equal Employment Opportunity Policy Statement</w:t>
            </w:r>
            <w:r>
              <w:t>, which covers both MWBE and EEO requirements) is required of all bidders, but Attachment 5 (</w:t>
            </w:r>
            <w:r w:rsidRPr="00F613C0">
              <w:t>Staffing Plan</w:t>
            </w:r>
            <w:r>
              <w:t>) only covers employment inside New York State.</w:t>
            </w:r>
          </w:p>
        </w:tc>
      </w:tr>
      <w:tr w:rsidR="003F7F68" w:rsidRPr="00917A57" w14:paraId="471C06DC" w14:textId="77777777" w:rsidTr="00872F56">
        <w:tc>
          <w:tcPr>
            <w:tcW w:w="828" w:type="dxa"/>
          </w:tcPr>
          <w:p w14:paraId="6EAC29D5" w14:textId="6716F0F4" w:rsidR="003F7F68" w:rsidRDefault="003F7F68" w:rsidP="00B8759A">
            <w:pPr>
              <w:jc w:val="center"/>
              <w:rPr>
                <w:rFonts w:cstheme="minorHAnsi"/>
              </w:rPr>
            </w:pPr>
            <w:r>
              <w:rPr>
                <w:rFonts w:cstheme="minorHAnsi"/>
              </w:rPr>
              <w:lastRenderedPageBreak/>
              <w:t>8</w:t>
            </w:r>
          </w:p>
        </w:tc>
        <w:tc>
          <w:tcPr>
            <w:tcW w:w="1680" w:type="dxa"/>
          </w:tcPr>
          <w:p w14:paraId="5DCDCA83" w14:textId="0AA19CC8" w:rsidR="003F7F68" w:rsidRDefault="003F7F68" w:rsidP="00B8759A">
            <w:pPr>
              <w:jc w:val="center"/>
              <w:rPr>
                <w:rFonts w:cstheme="minorHAnsi"/>
              </w:rPr>
            </w:pPr>
            <w:r>
              <w:rPr>
                <w:rFonts w:cstheme="minorHAnsi"/>
              </w:rPr>
              <w:t>General</w:t>
            </w:r>
          </w:p>
        </w:tc>
        <w:tc>
          <w:tcPr>
            <w:tcW w:w="997" w:type="dxa"/>
          </w:tcPr>
          <w:p w14:paraId="3ADEE06D" w14:textId="57EEDF7F" w:rsidR="003F7F68" w:rsidRDefault="003F7F68" w:rsidP="00B8759A">
            <w:pPr>
              <w:jc w:val="center"/>
              <w:rPr>
                <w:rFonts w:cstheme="minorHAnsi"/>
              </w:rPr>
            </w:pPr>
            <w:r>
              <w:rPr>
                <w:rFonts w:cstheme="minorHAnsi"/>
              </w:rPr>
              <w:t>N/A</w:t>
            </w:r>
          </w:p>
        </w:tc>
        <w:tc>
          <w:tcPr>
            <w:tcW w:w="4883" w:type="dxa"/>
          </w:tcPr>
          <w:p w14:paraId="13549176" w14:textId="69540FF0" w:rsidR="003F7F68" w:rsidRPr="003F7F68" w:rsidRDefault="003F7F68" w:rsidP="003F7F68">
            <w:pPr>
              <w:pStyle w:val="Default"/>
              <w:rPr>
                <w:rFonts w:asciiTheme="minorHAnsi" w:hAnsiTheme="minorHAnsi" w:cstheme="minorBidi"/>
                <w:color w:val="auto"/>
                <w:sz w:val="22"/>
                <w:szCs w:val="22"/>
              </w:rPr>
            </w:pPr>
            <w:r w:rsidRPr="003F7F68">
              <w:rPr>
                <w:rFonts w:asciiTheme="minorHAnsi" w:hAnsiTheme="minorHAnsi" w:cstheme="minorBidi"/>
                <w:color w:val="auto"/>
                <w:sz w:val="22"/>
                <w:szCs w:val="22"/>
              </w:rPr>
              <w:t xml:space="preserve">How many pages is the current Memorandum of Agreement? </w:t>
            </w:r>
          </w:p>
        </w:tc>
        <w:tc>
          <w:tcPr>
            <w:tcW w:w="5827" w:type="dxa"/>
          </w:tcPr>
          <w:p w14:paraId="2E5D29DE" w14:textId="022A99A1" w:rsidR="003F7F68" w:rsidRPr="00917A57" w:rsidRDefault="003F7F68" w:rsidP="00B8759A">
            <w:pPr>
              <w:rPr>
                <w:rFonts w:cstheme="minorHAnsi"/>
              </w:rPr>
            </w:pPr>
            <w:r>
              <w:rPr>
                <w:rFonts w:cstheme="minorHAnsi"/>
              </w:rPr>
              <w:t xml:space="preserve">The current FIDM Memorandum of Agreement (MOA) template consists of 7 pages, </w:t>
            </w:r>
            <w:r w:rsidR="00326322">
              <w:rPr>
                <w:rFonts w:cstheme="minorHAnsi"/>
              </w:rPr>
              <w:t>but the final page count may vary based on information provided by the financial institution.</w:t>
            </w:r>
          </w:p>
        </w:tc>
      </w:tr>
      <w:tr w:rsidR="003F7F68" w:rsidRPr="00917A57" w14:paraId="72314452" w14:textId="77777777" w:rsidTr="00872F56">
        <w:tc>
          <w:tcPr>
            <w:tcW w:w="828" w:type="dxa"/>
          </w:tcPr>
          <w:p w14:paraId="32775500" w14:textId="78CDF27F" w:rsidR="003F7F68" w:rsidRDefault="00326322" w:rsidP="00B8759A">
            <w:pPr>
              <w:jc w:val="center"/>
              <w:rPr>
                <w:rFonts w:cstheme="minorHAnsi"/>
              </w:rPr>
            </w:pPr>
            <w:r>
              <w:rPr>
                <w:rFonts w:cstheme="minorHAnsi"/>
              </w:rPr>
              <w:t>9</w:t>
            </w:r>
          </w:p>
        </w:tc>
        <w:tc>
          <w:tcPr>
            <w:tcW w:w="1680" w:type="dxa"/>
          </w:tcPr>
          <w:p w14:paraId="2704A869" w14:textId="732712E8" w:rsidR="003F7F68" w:rsidRDefault="00326322" w:rsidP="00B8759A">
            <w:pPr>
              <w:jc w:val="center"/>
              <w:rPr>
                <w:rFonts w:cstheme="minorHAnsi"/>
              </w:rPr>
            </w:pPr>
            <w:r>
              <w:rPr>
                <w:rFonts w:cstheme="minorHAnsi"/>
              </w:rPr>
              <w:t>General</w:t>
            </w:r>
          </w:p>
        </w:tc>
        <w:tc>
          <w:tcPr>
            <w:tcW w:w="997" w:type="dxa"/>
          </w:tcPr>
          <w:p w14:paraId="78BD7B97" w14:textId="2B07A628" w:rsidR="003F7F68" w:rsidRDefault="00326322" w:rsidP="00B8759A">
            <w:pPr>
              <w:jc w:val="center"/>
              <w:rPr>
                <w:rFonts w:cstheme="minorHAnsi"/>
              </w:rPr>
            </w:pPr>
            <w:r>
              <w:rPr>
                <w:rFonts w:cstheme="minorHAnsi"/>
              </w:rPr>
              <w:t>N/A</w:t>
            </w:r>
          </w:p>
        </w:tc>
        <w:tc>
          <w:tcPr>
            <w:tcW w:w="4883" w:type="dxa"/>
          </w:tcPr>
          <w:p w14:paraId="183B3995" w14:textId="3556C14B" w:rsidR="003F7F68" w:rsidRPr="00326322" w:rsidRDefault="00326322" w:rsidP="00326322">
            <w:r w:rsidRPr="002C0A6F">
              <w:t>What is the current quarterly match fee being paid to the current vendor for each financial institution?</w:t>
            </w:r>
          </w:p>
        </w:tc>
        <w:tc>
          <w:tcPr>
            <w:tcW w:w="5827" w:type="dxa"/>
          </w:tcPr>
          <w:p w14:paraId="149B072A" w14:textId="04341473" w:rsidR="003F7F68" w:rsidRDefault="00326322" w:rsidP="00B8759A">
            <w:pPr>
              <w:rPr>
                <w:rStyle w:val="Hyperlink"/>
              </w:rPr>
            </w:pPr>
            <w:r>
              <w:t xml:space="preserve">For information regarding the current contract, please follow the Department’s Freedom of Information Law (FOIL) process detailed at </w:t>
            </w:r>
            <w:hyperlink r:id="rId17" w:history="1">
              <w:r w:rsidRPr="00804C58">
                <w:rPr>
                  <w:rStyle w:val="Hyperlink"/>
                </w:rPr>
                <w:t>https://www.tax.ny.gov/help/contact/foil_requests.htm</w:t>
              </w:r>
            </w:hyperlink>
            <w:r w:rsidR="00872F56">
              <w:t>.</w:t>
            </w:r>
          </w:p>
          <w:p w14:paraId="331CC7FF" w14:textId="38707BC5" w:rsidR="00F2717A" w:rsidRPr="00431D32" w:rsidRDefault="00F2717A" w:rsidP="00B8759A">
            <w:pPr>
              <w:rPr>
                <w:rFonts w:cstheme="minorHAnsi"/>
              </w:rPr>
            </w:pPr>
          </w:p>
        </w:tc>
      </w:tr>
      <w:tr w:rsidR="00326322" w:rsidRPr="00917A57" w14:paraId="784728EF" w14:textId="77777777" w:rsidTr="00872F56">
        <w:tc>
          <w:tcPr>
            <w:tcW w:w="828" w:type="dxa"/>
          </w:tcPr>
          <w:p w14:paraId="1BFA7B9E" w14:textId="24EA887F" w:rsidR="00326322" w:rsidRDefault="00326322" w:rsidP="00B8759A">
            <w:pPr>
              <w:jc w:val="center"/>
              <w:rPr>
                <w:rFonts w:cstheme="minorHAnsi"/>
              </w:rPr>
            </w:pPr>
            <w:r>
              <w:rPr>
                <w:rFonts w:cstheme="minorHAnsi"/>
              </w:rPr>
              <w:t>10</w:t>
            </w:r>
          </w:p>
        </w:tc>
        <w:tc>
          <w:tcPr>
            <w:tcW w:w="1680" w:type="dxa"/>
          </w:tcPr>
          <w:p w14:paraId="7365247A" w14:textId="668E505C" w:rsidR="00326322" w:rsidRDefault="00326322" w:rsidP="00B8759A">
            <w:pPr>
              <w:jc w:val="center"/>
              <w:rPr>
                <w:rFonts w:cstheme="minorHAnsi"/>
              </w:rPr>
            </w:pPr>
            <w:r>
              <w:rPr>
                <w:rFonts w:cstheme="minorHAnsi"/>
              </w:rPr>
              <w:t>General</w:t>
            </w:r>
          </w:p>
        </w:tc>
        <w:tc>
          <w:tcPr>
            <w:tcW w:w="997" w:type="dxa"/>
          </w:tcPr>
          <w:p w14:paraId="0A35527C" w14:textId="093A6E94" w:rsidR="00326322" w:rsidRDefault="00326322" w:rsidP="00B8759A">
            <w:pPr>
              <w:jc w:val="center"/>
              <w:rPr>
                <w:rFonts w:cstheme="minorHAnsi"/>
              </w:rPr>
            </w:pPr>
            <w:r>
              <w:rPr>
                <w:rFonts w:cstheme="minorHAnsi"/>
              </w:rPr>
              <w:t>N/A</w:t>
            </w:r>
          </w:p>
        </w:tc>
        <w:tc>
          <w:tcPr>
            <w:tcW w:w="4883" w:type="dxa"/>
          </w:tcPr>
          <w:p w14:paraId="3AAA23C2" w14:textId="64FAA651" w:rsidR="00326322" w:rsidRPr="002C0A6F" w:rsidRDefault="00326322" w:rsidP="00326322">
            <w:r w:rsidRPr="002C0A6F">
              <w:t>Could the State provide a copy of the current contract, including pricing and all amendments?</w:t>
            </w:r>
          </w:p>
        </w:tc>
        <w:tc>
          <w:tcPr>
            <w:tcW w:w="5827" w:type="dxa"/>
          </w:tcPr>
          <w:p w14:paraId="2C2A929C" w14:textId="5D013DAB" w:rsidR="00326322" w:rsidRDefault="00326322" w:rsidP="00326322">
            <w:r>
              <w:t xml:space="preserve">For information regarding the current contract, please follow the Department’s Freedom of Information Law (FOIL) process detailed at </w:t>
            </w:r>
            <w:hyperlink r:id="rId18" w:history="1">
              <w:r w:rsidRPr="00804C58">
                <w:rPr>
                  <w:rStyle w:val="Hyperlink"/>
                </w:rPr>
                <w:t>https://www.tax.ny.gov/help/contact/foil_requests.htm</w:t>
              </w:r>
            </w:hyperlink>
            <w:r w:rsidR="00872F56">
              <w:t>.</w:t>
            </w:r>
          </w:p>
        </w:tc>
      </w:tr>
      <w:tr w:rsidR="00326322" w:rsidRPr="00917A57" w14:paraId="5C7A97E2" w14:textId="77777777" w:rsidTr="00872F56">
        <w:tc>
          <w:tcPr>
            <w:tcW w:w="828" w:type="dxa"/>
          </w:tcPr>
          <w:p w14:paraId="6DEF9EEF" w14:textId="5AA2A3E3" w:rsidR="00326322" w:rsidRDefault="00326322" w:rsidP="00B8759A">
            <w:pPr>
              <w:jc w:val="center"/>
              <w:rPr>
                <w:rFonts w:cstheme="minorHAnsi"/>
              </w:rPr>
            </w:pPr>
            <w:r>
              <w:rPr>
                <w:rFonts w:cstheme="minorHAnsi"/>
              </w:rPr>
              <w:t>11</w:t>
            </w:r>
          </w:p>
        </w:tc>
        <w:tc>
          <w:tcPr>
            <w:tcW w:w="1680" w:type="dxa"/>
          </w:tcPr>
          <w:p w14:paraId="1CB12B44" w14:textId="409DD6AB" w:rsidR="00326322" w:rsidRDefault="00326322" w:rsidP="00B8759A">
            <w:pPr>
              <w:jc w:val="center"/>
              <w:rPr>
                <w:rFonts w:cstheme="minorHAnsi"/>
              </w:rPr>
            </w:pPr>
            <w:r>
              <w:rPr>
                <w:rFonts w:cstheme="minorHAnsi"/>
              </w:rPr>
              <w:t>General</w:t>
            </w:r>
          </w:p>
        </w:tc>
        <w:tc>
          <w:tcPr>
            <w:tcW w:w="997" w:type="dxa"/>
          </w:tcPr>
          <w:p w14:paraId="53D58DAB" w14:textId="18EF91BE" w:rsidR="00326322" w:rsidRDefault="00326322" w:rsidP="00B8759A">
            <w:pPr>
              <w:jc w:val="center"/>
              <w:rPr>
                <w:rFonts w:cstheme="minorHAnsi"/>
              </w:rPr>
            </w:pPr>
            <w:r>
              <w:rPr>
                <w:rFonts w:cstheme="minorHAnsi"/>
              </w:rPr>
              <w:t>N/A</w:t>
            </w:r>
          </w:p>
        </w:tc>
        <w:tc>
          <w:tcPr>
            <w:tcW w:w="4883" w:type="dxa"/>
          </w:tcPr>
          <w:p w14:paraId="42A8BB47" w14:textId="2E31BEBF" w:rsidR="00326322" w:rsidRPr="002C0A6F" w:rsidRDefault="00326322" w:rsidP="00326322">
            <w:r w:rsidRPr="002C0A6F">
              <w:t>Could the State provide a copy of the past twelve months of service invoices?</w:t>
            </w:r>
          </w:p>
        </w:tc>
        <w:tc>
          <w:tcPr>
            <w:tcW w:w="5827" w:type="dxa"/>
          </w:tcPr>
          <w:p w14:paraId="4C216610" w14:textId="13A7A450" w:rsidR="00326322" w:rsidRDefault="00326322" w:rsidP="00B8759A">
            <w:pPr>
              <w:rPr>
                <w:rStyle w:val="Hyperlink"/>
              </w:rPr>
            </w:pPr>
            <w:r>
              <w:t xml:space="preserve">For information regarding the current contract, please follow the Department’s Freedom of Information Law (FOIL) process </w:t>
            </w:r>
            <w:r>
              <w:lastRenderedPageBreak/>
              <w:t xml:space="preserve">detailed at </w:t>
            </w:r>
            <w:hyperlink r:id="rId19" w:history="1">
              <w:r w:rsidRPr="00804C58">
                <w:rPr>
                  <w:rStyle w:val="Hyperlink"/>
                </w:rPr>
                <w:t>https://www.tax.ny.gov/help/contact/foil_requests.htm</w:t>
              </w:r>
            </w:hyperlink>
            <w:r w:rsidR="00872F56">
              <w:t>.</w:t>
            </w:r>
          </w:p>
          <w:p w14:paraId="5E256AAF" w14:textId="5A149E46" w:rsidR="00A45260" w:rsidRDefault="00A45260" w:rsidP="00B8759A">
            <w:r w:rsidRPr="00431D32">
              <w:rPr>
                <w:rStyle w:val="Hyperlink"/>
                <w:color w:val="auto"/>
                <w:u w:val="none"/>
              </w:rPr>
              <w:t>For the first two quarters of FY 2017-18, the average number of quarterly matches has been 625</w:t>
            </w:r>
            <w:r w:rsidR="00872F56">
              <w:rPr>
                <w:rStyle w:val="Hyperlink"/>
                <w:color w:val="auto"/>
                <w:u w:val="none"/>
              </w:rPr>
              <w:t>. This exceeds the number of FI</w:t>
            </w:r>
            <w:r w:rsidRPr="00431D32">
              <w:rPr>
                <w:rStyle w:val="Hyperlink"/>
                <w:color w:val="auto"/>
                <w:u w:val="none"/>
              </w:rPr>
              <w:t>s (605) who have executed MOA</w:t>
            </w:r>
            <w:r w:rsidR="00872F56">
              <w:rPr>
                <w:rStyle w:val="Hyperlink"/>
                <w:color w:val="auto"/>
                <w:u w:val="none"/>
              </w:rPr>
              <w:t>s because (a) some FI</w:t>
            </w:r>
            <w:r w:rsidRPr="00431D32">
              <w:rPr>
                <w:rStyle w:val="Hyperlink"/>
                <w:color w:val="auto"/>
                <w:u w:val="none"/>
              </w:rPr>
              <w:t>s have multiple reporting units (with separate Federal Employment Identification Numbers), and (b) some FIs who have not executed MOAs are voluntarily reporting.</w:t>
            </w:r>
          </w:p>
        </w:tc>
      </w:tr>
      <w:tr w:rsidR="00326322" w:rsidRPr="00917A57" w14:paraId="65394502" w14:textId="77777777" w:rsidTr="00872F56">
        <w:tc>
          <w:tcPr>
            <w:tcW w:w="828" w:type="dxa"/>
          </w:tcPr>
          <w:p w14:paraId="42F084B2" w14:textId="67855CCE" w:rsidR="00326322" w:rsidRDefault="00326322" w:rsidP="00B8759A">
            <w:pPr>
              <w:jc w:val="center"/>
              <w:rPr>
                <w:rFonts w:cstheme="minorHAnsi"/>
              </w:rPr>
            </w:pPr>
            <w:r>
              <w:rPr>
                <w:rFonts w:cstheme="minorHAnsi"/>
              </w:rPr>
              <w:lastRenderedPageBreak/>
              <w:t>12</w:t>
            </w:r>
          </w:p>
        </w:tc>
        <w:tc>
          <w:tcPr>
            <w:tcW w:w="1680" w:type="dxa"/>
          </w:tcPr>
          <w:p w14:paraId="201F6F91" w14:textId="248CF277" w:rsidR="00326322" w:rsidRDefault="00326322" w:rsidP="00B8759A">
            <w:pPr>
              <w:jc w:val="center"/>
              <w:rPr>
                <w:rFonts w:cstheme="minorHAnsi"/>
              </w:rPr>
            </w:pPr>
            <w:r>
              <w:rPr>
                <w:rFonts w:cstheme="minorHAnsi"/>
              </w:rPr>
              <w:t>General</w:t>
            </w:r>
          </w:p>
        </w:tc>
        <w:tc>
          <w:tcPr>
            <w:tcW w:w="997" w:type="dxa"/>
          </w:tcPr>
          <w:p w14:paraId="7107CB6A" w14:textId="1DA2469A" w:rsidR="00326322" w:rsidRDefault="00326322" w:rsidP="00B8759A">
            <w:pPr>
              <w:jc w:val="center"/>
              <w:rPr>
                <w:rFonts w:cstheme="minorHAnsi"/>
              </w:rPr>
            </w:pPr>
            <w:r>
              <w:rPr>
                <w:rFonts w:cstheme="minorHAnsi"/>
              </w:rPr>
              <w:t>N/A</w:t>
            </w:r>
          </w:p>
        </w:tc>
        <w:tc>
          <w:tcPr>
            <w:tcW w:w="4883" w:type="dxa"/>
          </w:tcPr>
          <w:p w14:paraId="5313951F" w14:textId="6594BC21" w:rsidR="00326322" w:rsidRPr="002C0A6F" w:rsidRDefault="00326322" w:rsidP="00326322">
            <w:r w:rsidRPr="002C0A6F">
              <w:t xml:space="preserve">Would the State consider a </w:t>
            </w:r>
            <w:proofErr w:type="gramStart"/>
            <w:r w:rsidRPr="002C0A6F">
              <w:t>three week</w:t>
            </w:r>
            <w:proofErr w:type="gramEnd"/>
            <w:r w:rsidRPr="002C0A6F">
              <w:t xml:space="preserve"> extension for the submittal due date after the question and answer set is provided in order for potential vendors to complete a quality competitive response?</w:t>
            </w:r>
          </w:p>
        </w:tc>
        <w:tc>
          <w:tcPr>
            <w:tcW w:w="5827" w:type="dxa"/>
          </w:tcPr>
          <w:p w14:paraId="314CAA98" w14:textId="1219E16B" w:rsidR="00326322" w:rsidRPr="00536F7C" w:rsidRDefault="00536F7C" w:rsidP="00536F7C">
            <w:pPr>
              <w:rPr>
                <w:rFonts w:ascii="Calibri" w:eastAsia="Calibri" w:hAnsi="Calibri" w:cs="Calibri"/>
              </w:rPr>
            </w:pPr>
            <w:r>
              <w:rPr>
                <w:rFonts w:ascii="Calibri" w:eastAsia="Calibri" w:hAnsi="Calibri" w:cs="Calibri"/>
              </w:rPr>
              <w:t>The Proposal due date has been extended per the updated Schedule of Events attached in Amendment #1</w:t>
            </w:r>
            <w:r w:rsidR="00326322" w:rsidRPr="00C01658">
              <w:rPr>
                <w:rFonts w:ascii="Calibri" w:eastAsia="Calibri" w:hAnsi="Calibri" w:cs="Calibri"/>
              </w:rPr>
              <w:t xml:space="preserve">. </w:t>
            </w:r>
          </w:p>
        </w:tc>
      </w:tr>
    </w:tbl>
    <w:p w14:paraId="6FFBA277" w14:textId="77777777" w:rsidR="00326322" w:rsidRDefault="00326322" w:rsidP="004355EA">
      <w:pPr>
        <w:rPr>
          <w:rFonts w:cstheme="minorHAnsi"/>
        </w:rPr>
        <w:sectPr w:rsidR="00326322" w:rsidSect="004A6048">
          <w:headerReference w:type="default" r:id="rId20"/>
          <w:footerReference w:type="first" r:id="rId21"/>
          <w:pgSz w:w="15840" w:h="12240" w:orient="landscape"/>
          <w:pgMar w:top="1440" w:right="900" w:bottom="1440" w:left="720" w:header="720" w:footer="343" w:gutter="0"/>
          <w:cols w:space="720"/>
          <w:titlePg/>
          <w:docGrid w:linePitch="360"/>
        </w:sectPr>
      </w:pPr>
    </w:p>
    <w:p w14:paraId="39C04FB4" w14:textId="34DBD15D" w:rsidR="004355EA" w:rsidRPr="004355EA" w:rsidRDefault="004355EA" w:rsidP="004355EA">
      <w:pPr>
        <w:rPr>
          <w:rFonts w:cstheme="minorHAnsi"/>
        </w:rPr>
      </w:pPr>
    </w:p>
    <w:p w14:paraId="2410E40A" w14:textId="77777777" w:rsidR="004355EA" w:rsidRPr="004355EA" w:rsidRDefault="004355EA" w:rsidP="004355EA">
      <w:pPr>
        <w:rPr>
          <w:rFonts w:cstheme="minorHAnsi"/>
        </w:rPr>
      </w:pPr>
    </w:p>
    <w:p w14:paraId="03C81EA3" w14:textId="77777777" w:rsidR="009668EC" w:rsidRPr="00F219AA" w:rsidRDefault="009668EC" w:rsidP="009668EC">
      <w:pPr>
        <w:pStyle w:val="Heading1"/>
        <w:jc w:val="center"/>
        <w:rPr>
          <w:rFonts w:ascii="Calibri" w:hAnsi="Calibri" w:cs="Calibri"/>
          <w:noProof/>
          <w:sz w:val="28"/>
          <w:szCs w:val="28"/>
          <w:u w:val="single"/>
        </w:rPr>
      </w:pPr>
      <w:bookmarkStart w:id="1" w:name="_Toc449528096"/>
      <w:bookmarkStart w:id="2" w:name="_Toc497313815"/>
      <w:r w:rsidRPr="00F219AA">
        <w:rPr>
          <w:rFonts w:ascii="Calibri" w:hAnsi="Calibri" w:cs="Calibri"/>
          <w:noProof/>
          <w:sz w:val="28"/>
          <w:szCs w:val="28"/>
          <w:u w:val="single"/>
        </w:rPr>
        <w:t>Schedule of Events</w:t>
      </w:r>
      <w:bookmarkEnd w:id="1"/>
      <w:bookmarkEnd w:id="2"/>
    </w:p>
    <w:p w14:paraId="2F4C1561" w14:textId="77777777" w:rsidR="009668EC" w:rsidRPr="00F219AA" w:rsidRDefault="009668EC" w:rsidP="009668EC">
      <w:pPr>
        <w:rPr>
          <w:lang w:val="x-none" w:eastAsia="x-none"/>
        </w:rPr>
      </w:pPr>
    </w:p>
    <w:tbl>
      <w:tblPr>
        <w:tblW w:w="9576"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9668EC" w:rsidRPr="00B3396B" w14:paraId="7E340CCC" w14:textId="77777777" w:rsidTr="00BD08D9">
        <w:trPr>
          <w:trHeight w:val="314"/>
        </w:trPr>
        <w:tc>
          <w:tcPr>
            <w:tcW w:w="6948" w:type="dxa"/>
            <w:tcBorders>
              <w:top w:val="single" w:sz="4" w:space="0" w:color="auto"/>
              <w:bottom w:val="single" w:sz="4" w:space="0" w:color="auto"/>
              <w:right w:val="single" w:sz="4" w:space="0" w:color="auto"/>
            </w:tcBorders>
          </w:tcPr>
          <w:p w14:paraId="14DCECA1" w14:textId="77777777" w:rsidR="009668EC" w:rsidRPr="005F4DCE" w:rsidRDefault="009668EC" w:rsidP="00BD08D9">
            <w:pPr>
              <w:jc w:val="both"/>
              <w:rPr>
                <w:rFonts w:cs="Calibri"/>
                <w:noProof/>
              </w:rPr>
            </w:pPr>
            <w:r w:rsidRPr="005F4DCE">
              <w:rPr>
                <w:rFonts w:cs="Calibri"/>
                <w:noProof/>
              </w:rPr>
              <w:t>Issuance of RFP</w:t>
            </w:r>
          </w:p>
        </w:tc>
        <w:tc>
          <w:tcPr>
            <w:tcW w:w="2628" w:type="dxa"/>
            <w:tcBorders>
              <w:top w:val="single" w:sz="4" w:space="0" w:color="auto"/>
              <w:left w:val="single" w:sz="4" w:space="0" w:color="auto"/>
              <w:bottom w:val="single" w:sz="4" w:space="0" w:color="auto"/>
            </w:tcBorders>
          </w:tcPr>
          <w:p w14:paraId="7A6E8D6A" w14:textId="77777777" w:rsidR="009668EC" w:rsidRPr="005F4DCE" w:rsidRDefault="009668EC" w:rsidP="00BD08D9">
            <w:pPr>
              <w:jc w:val="center"/>
              <w:rPr>
                <w:rFonts w:cs="Calibri"/>
                <w:noProof/>
              </w:rPr>
            </w:pPr>
            <w:r>
              <w:rPr>
                <w:rFonts w:cs="Calibri"/>
                <w:noProof/>
              </w:rPr>
              <w:t>November 3, 2017</w:t>
            </w:r>
          </w:p>
        </w:tc>
      </w:tr>
      <w:tr w:rsidR="009668EC" w:rsidRPr="00B3396B" w14:paraId="518A7DAD" w14:textId="77777777" w:rsidTr="00BD08D9">
        <w:tc>
          <w:tcPr>
            <w:tcW w:w="6948" w:type="dxa"/>
            <w:tcBorders>
              <w:top w:val="single" w:sz="4" w:space="0" w:color="auto"/>
              <w:bottom w:val="single" w:sz="4" w:space="0" w:color="auto"/>
              <w:right w:val="single" w:sz="4" w:space="0" w:color="auto"/>
            </w:tcBorders>
          </w:tcPr>
          <w:p w14:paraId="2DDBE087" w14:textId="77777777" w:rsidR="009668EC" w:rsidRPr="005F4DCE" w:rsidRDefault="009668EC" w:rsidP="00BD08D9">
            <w:pPr>
              <w:rPr>
                <w:rFonts w:cs="Calibri"/>
                <w:noProof/>
              </w:rPr>
            </w:pPr>
            <w:r w:rsidRPr="005F4DCE">
              <w:rPr>
                <w:rFonts w:cs="Calibri"/>
                <w:noProof/>
              </w:rPr>
              <w:t>Deadline</w:t>
            </w:r>
            <w:r>
              <w:rPr>
                <w:rFonts w:cs="Calibri"/>
                <w:noProof/>
              </w:rPr>
              <w:t xml:space="preserve"> for F</w:t>
            </w:r>
            <w:r w:rsidRPr="005F4DCE">
              <w:rPr>
                <w:rFonts w:cs="Calibri"/>
                <w:noProof/>
              </w:rPr>
              <w:t>iling</w:t>
            </w:r>
            <w:r>
              <w:rPr>
                <w:rFonts w:cs="Calibri"/>
                <w:noProof/>
              </w:rPr>
              <w:t xml:space="preserve"> Offerer Understanding of, and Compliance w</w:t>
            </w:r>
            <w:r w:rsidRPr="005F4DCE">
              <w:rPr>
                <w:rFonts w:cs="Calibri"/>
                <w:noProof/>
              </w:rPr>
              <w:t>ith, Procurement Lobbying Guidelines</w:t>
            </w:r>
            <w:r>
              <w:rPr>
                <w:rFonts w:cs="Calibri"/>
                <w:noProof/>
              </w:rPr>
              <w:t xml:space="preserve"> Form (</w:t>
            </w:r>
            <w:r>
              <w:rPr>
                <w:rFonts w:cs="Calibri"/>
                <w:b/>
                <w:noProof/>
              </w:rPr>
              <w:t>Attachment 2</w:t>
            </w:r>
            <w:r>
              <w:rPr>
                <w:rFonts w:cs="Calibri"/>
                <w:noProof/>
              </w:rPr>
              <w:t>)</w:t>
            </w:r>
          </w:p>
        </w:tc>
        <w:tc>
          <w:tcPr>
            <w:tcW w:w="2628" w:type="dxa"/>
            <w:tcBorders>
              <w:top w:val="single" w:sz="4" w:space="0" w:color="auto"/>
              <w:left w:val="single" w:sz="4" w:space="0" w:color="auto"/>
              <w:bottom w:val="single" w:sz="4" w:space="0" w:color="auto"/>
            </w:tcBorders>
          </w:tcPr>
          <w:p w14:paraId="67415C9A" w14:textId="77777777" w:rsidR="009668EC" w:rsidRPr="005F4DCE" w:rsidRDefault="009668EC" w:rsidP="00BD08D9">
            <w:pPr>
              <w:jc w:val="center"/>
              <w:rPr>
                <w:rFonts w:cs="Calibri"/>
                <w:noProof/>
              </w:rPr>
            </w:pPr>
            <w:r>
              <w:rPr>
                <w:rFonts w:cs="Calibri"/>
                <w:noProof/>
              </w:rPr>
              <w:t>November 14, 2017</w:t>
            </w:r>
          </w:p>
        </w:tc>
      </w:tr>
      <w:tr w:rsidR="009668EC" w:rsidRPr="00B3396B" w14:paraId="1C7B15A7" w14:textId="77777777" w:rsidTr="00BD08D9">
        <w:tc>
          <w:tcPr>
            <w:tcW w:w="6948" w:type="dxa"/>
            <w:tcBorders>
              <w:top w:val="single" w:sz="4" w:space="0" w:color="auto"/>
              <w:bottom w:val="single" w:sz="4" w:space="0" w:color="auto"/>
              <w:right w:val="single" w:sz="4" w:space="0" w:color="auto"/>
            </w:tcBorders>
          </w:tcPr>
          <w:p w14:paraId="490427BE" w14:textId="77777777" w:rsidR="009668EC" w:rsidRPr="005F4DCE" w:rsidRDefault="009668EC" w:rsidP="00BD08D9">
            <w:pPr>
              <w:rPr>
                <w:rFonts w:cs="Calibri"/>
                <w:noProof/>
              </w:rPr>
            </w:pPr>
            <w:r w:rsidRPr="005F4DCE">
              <w:rPr>
                <w:rFonts w:cs="Calibri"/>
                <w:noProof/>
              </w:rPr>
              <w:t xml:space="preserve">Deadline for </w:t>
            </w:r>
            <w:r>
              <w:rPr>
                <w:rFonts w:cs="Calibri"/>
                <w:noProof/>
              </w:rPr>
              <w:t xml:space="preserve">First </w:t>
            </w:r>
            <w:r w:rsidRPr="005F4DCE">
              <w:rPr>
                <w:rFonts w:cs="Calibri"/>
                <w:noProof/>
              </w:rPr>
              <w:t>Submission of Questions</w:t>
            </w:r>
          </w:p>
        </w:tc>
        <w:tc>
          <w:tcPr>
            <w:tcW w:w="2628" w:type="dxa"/>
            <w:tcBorders>
              <w:top w:val="single" w:sz="4" w:space="0" w:color="auto"/>
              <w:left w:val="single" w:sz="4" w:space="0" w:color="auto"/>
              <w:bottom w:val="single" w:sz="4" w:space="0" w:color="auto"/>
            </w:tcBorders>
          </w:tcPr>
          <w:p w14:paraId="3F759251" w14:textId="77777777" w:rsidR="009668EC" w:rsidRPr="005F4DCE" w:rsidRDefault="009668EC" w:rsidP="00BD08D9">
            <w:pPr>
              <w:jc w:val="center"/>
              <w:rPr>
                <w:rFonts w:cs="Calibri"/>
                <w:noProof/>
              </w:rPr>
            </w:pPr>
            <w:r>
              <w:rPr>
                <w:rFonts w:cs="Calibri"/>
                <w:noProof/>
              </w:rPr>
              <w:t>November 14 2017</w:t>
            </w:r>
          </w:p>
        </w:tc>
      </w:tr>
      <w:tr w:rsidR="009668EC" w:rsidRPr="00B3396B" w14:paraId="2889A6DC" w14:textId="77777777" w:rsidTr="00BD08D9">
        <w:tc>
          <w:tcPr>
            <w:tcW w:w="6948" w:type="dxa"/>
            <w:tcBorders>
              <w:top w:val="single" w:sz="4" w:space="0" w:color="auto"/>
              <w:bottom w:val="single" w:sz="4" w:space="0" w:color="auto"/>
              <w:right w:val="single" w:sz="4" w:space="0" w:color="auto"/>
            </w:tcBorders>
          </w:tcPr>
          <w:p w14:paraId="38FA748C" w14:textId="77777777" w:rsidR="009668EC" w:rsidRPr="005F4DCE" w:rsidRDefault="009668EC" w:rsidP="00BD08D9">
            <w:pPr>
              <w:rPr>
                <w:rFonts w:cs="Calibri"/>
                <w:noProof/>
              </w:rPr>
            </w:pPr>
            <w:r w:rsidRPr="005F4DCE">
              <w:rPr>
                <w:rFonts w:cs="Calibri"/>
                <w:noProof/>
              </w:rPr>
              <w:t xml:space="preserve">Department Response to </w:t>
            </w:r>
            <w:r>
              <w:rPr>
                <w:rFonts w:cs="Calibri"/>
                <w:noProof/>
              </w:rPr>
              <w:t xml:space="preserve">First Submission of </w:t>
            </w:r>
            <w:r w:rsidRPr="005F4DCE">
              <w:rPr>
                <w:rFonts w:cs="Calibri"/>
                <w:noProof/>
              </w:rPr>
              <w:t>Bidder Questions</w:t>
            </w:r>
          </w:p>
        </w:tc>
        <w:tc>
          <w:tcPr>
            <w:tcW w:w="2628" w:type="dxa"/>
            <w:tcBorders>
              <w:top w:val="single" w:sz="4" w:space="0" w:color="auto"/>
              <w:left w:val="single" w:sz="4" w:space="0" w:color="auto"/>
              <w:bottom w:val="single" w:sz="4" w:space="0" w:color="auto"/>
            </w:tcBorders>
          </w:tcPr>
          <w:p w14:paraId="1B3C0868" w14:textId="77777777" w:rsidR="009668EC" w:rsidRPr="00040D4C" w:rsidRDefault="009668EC" w:rsidP="00BD08D9">
            <w:pPr>
              <w:jc w:val="center"/>
              <w:rPr>
                <w:rFonts w:cs="Calibri"/>
                <w:strike/>
                <w:noProof/>
                <w:color w:val="0070C0"/>
              </w:rPr>
            </w:pPr>
            <w:r w:rsidRPr="00040D4C">
              <w:rPr>
                <w:rFonts w:cs="Calibri"/>
                <w:strike/>
                <w:noProof/>
                <w:color w:val="0070C0"/>
              </w:rPr>
              <w:t>November 20, 2017</w:t>
            </w:r>
          </w:p>
          <w:p w14:paraId="7B55E045" w14:textId="12F1FB86" w:rsidR="00040D4C" w:rsidRPr="009668EC" w:rsidRDefault="0090475E" w:rsidP="00BD08D9">
            <w:pPr>
              <w:jc w:val="center"/>
              <w:rPr>
                <w:rFonts w:cs="Calibri"/>
                <w:noProof/>
                <w:highlight w:val="yellow"/>
              </w:rPr>
            </w:pPr>
            <w:r>
              <w:rPr>
                <w:rFonts w:cs="Calibri"/>
                <w:noProof/>
                <w:color w:val="FF0000"/>
              </w:rPr>
              <w:t>December 7</w:t>
            </w:r>
            <w:r w:rsidR="00040D4C" w:rsidRPr="00040D4C">
              <w:rPr>
                <w:rFonts w:cs="Calibri"/>
                <w:noProof/>
                <w:color w:val="FF0000"/>
              </w:rPr>
              <w:t>, 2017</w:t>
            </w:r>
          </w:p>
        </w:tc>
      </w:tr>
      <w:tr w:rsidR="009668EC" w:rsidRPr="00B3396B" w14:paraId="2FA21B8B" w14:textId="77777777" w:rsidTr="00BD08D9">
        <w:tc>
          <w:tcPr>
            <w:tcW w:w="6948" w:type="dxa"/>
            <w:tcBorders>
              <w:top w:val="single" w:sz="4" w:space="0" w:color="auto"/>
              <w:bottom w:val="single" w:sz="4" w:space="0" w:color="auto"/>
              <w:right w:val="single" w:sz="4" w:space="0" w:color="auto"/>
            </w:tcBorders>
          </w:tcPr>
          <w:p w14:paraId="43D32010" w14:textId="77777777" w:rsidR="009668EC" w:rsidRPr="00AE529A" w:rsidRDefault="009668EC" w:rsidP="00BD08D9">
            <w:pPr>
              <w:rPr>
                <w:rFonts w:cs="Calibri"/>
                <w:noProof/>
              </w:rPr>
            </w:pPr>
            <w:r>
              <w:rPr>
                <w:rFonts w:cs="Calibri"/>
                <w:noProof/>
              </w:rPr>
              <w:t>Deadline for Submission of Notice of Intent to Bid</w:t>
            </w:r>
          </w:p>
        </w:tc>
        <w:tc>
          <w:tcPr>
            <w:tcW w:w="2628" w:type="dxa"/>
            <w:tcBorders>
              <w:top w:val="single" w:sz="4" w:space="0" w:color="auto"/>
              <w:left w:val="single" w:sz="4" w:space="0" w:color="auto"/>
              <w:bottom w:val="single" w:sz="4" w:space="0" w:color="auto"/>
            </w:tcBorders>
          </w:tcPr>
          <w:p w14:paraId="69D4B2EF" w14:textId="77777777" w:rsidR="009668EC" w:rsidRPr="00536F7C" w:rsidRDefault="009668EC" w:rsidP="00BD08D9">
            <w:pPr>
              <w:jc w:val="center"/>
              <w:rPr>
                <w:rFonts w:cs="Calibri"/>
                <w:strike/>
                <w:noProof/>
                <w:color w:val="0070C0"/>
              </w:rPr>
            </w:pPr>
            <w:r w:rsidRPr="00536F7C">
              <w:rPr>
                <w:rFonts w:cs="Calibri"/>
                <w:strike/>
                <w:noProof/>
                <w:color w:val="0070C0"/>
              </w:rPr>
              <w:t>November 27, 2017</w:t>
            </w:r>
          </w:p>
          <w:p w14:paraId="1581CCFF" w14:textId="21992CF1" w:rsidR="00536F7C" w:rsidRPr="00536F7C" w:rsidRDefault="00536F7C" w:rsidP="00BD08D9">
            <w:pPr>
              <w:jc w:val="center"/>
              <w:rPr>
                <w:rFonts w:cs="Calibri"/>
                <w:noProof/>
              </w:rPr>
            </w:pPr>
            <w:r w:rsidRPr="00536F7C">
              <w:rPr>
                <w:rFonts w:cs="Calibri"/>
                <w:noProof/>
                <w:color w:val="FF0000"/>
              </w:rPr>
              <w:t>December 1</w:t>
            </w:r>
            <w:r w:rsidR="0090475E">
              <w:rPr>
                <w:rFonts w:cs="Calibri"/>
                <w:noProof/>
                <w:color w:val="FF0000"/>
              </w:rPr>
              <w:t>8</w:t>
            </w:r>
            <w:r w:rsidRPr="00536F7C">
              <w:rPr>
                <w:rFonts w:cs="Calibri"/>
                <w:noProof/>
                <w:color w:val="FF0000"/>
              </w:rPr>
              <w:t>, 2017</w:t>
            </w:r>
          </w:p>
        </w:tc>
      </w:tr>
      <w:tr w:rsidR="009668EC" w:rsidRPr="00B3396B" w14:paraId="6E469C3B" w14:textId="77777777" w:rsidTr="00BD08D9">
        <w:tc>
          <w:tcPr>
            <w:tcW w:w="6948" w:type="dxa"/>
            <w:tcBorders>
              <w:top w:val="single" w:sz="4" w:space="0" w:color="auto"/>
              <w:bottom w:val="single" w:sz="4" w:space="0" w:color="auto"/>
              <w:right w:val="single" w:sz="4" w:space="0" w:color="auto"/>
            </w:tcBorders>
          </w:tcPr>
          <w:p w14:paraId="79077337" w14:textId="77777777" w:rsidR="009668EC" w:rsidRPr="00AE529A" w:rsidRDefault="009668EC" w:rsidP="00BD08D9">
            <w:pPr>
              <w:rPr>
                <w:rFonts w:cs="Calibri"/>
                <w:noProof/>
              </w:rPr>
            </w:pPr>
            <w:r>
              <w:rPr>
                <w:rFonts w:cs="Calibri"/>
                <w:noProof/>
              </w:rPr>
              <w:t>Deadline for Second S</w:t>
            </w:r>
            <w:r w:rsidRPr="00AE529A">
              <w:rPr>
                <w:rFonts w:cs="Calibri"/>
                <w:noProof/>
              </w:rPr>
              <w:t>ubmission of Bidder Questions</w:t>
            </w:r>
          </w:p>
        </w:tc>
        <w:tc>
          <w:tcPr>
            <w:tcW w:w="2628" w:type="dxa"/>
            <w:tcBorders>
              <w:top w:val="single" w:sz="4" w:space="0" w:color="auto"/>
              <w:left w:val="single" w:sz="4" w:space="0" w:color="auto"/>
              <w:bottom w:val="single" w:sz="4" w:space="0" w:color="auto"/>
            </w:tcBorders>
          </w:tcPr>
          <w:p w14:paraId="45A2C418" w14:textId="77777777" w:rsidR="009668EC" w:rsidRPr="00536F7C" w:rsidRDefault="009668EC" w:rsidP="00BD08D9">
            <w:pPr>
              <w:jc w:val="center"/>
              <w:rPr>
                <w:rFonts w:cs="Calibri"/>
                <w:strike/>
                <w:noProof/>
                <w:color w:val="0070C0"/>
              </w:rPr>
            </w:pPr>
            <w:r w:rsidRPr="00536F7C">
              <w:rPr>
                <w:rFonts w:cs="Calibri"/>
                <w:strike/>
                <w:noProof/>
                <w:color w:val="0070C0"/>
              </w:rPr>
              <w:t>November 27, 2017</w:t>
            </w:r>
          </w:p>
          <w:p w14:paraId="2DDC0F60" w14:textId="4F8C0146" w:rsidR="00536F7C" w:rsidRPr="00536F7C" w:rsidRDefault="0090475E" w:rsidP="00BD08D9">
            <w:pPr>
              <w:jc w:val="center"/>
              <w:rPr>
                <w:rFonts w:cs="Calibri"/>
                <w:noProof/>
              </w:rPr>
            </w:pPr>
            <w:r>
              <w:rPr>
                <w:rFonts w:cs="Calibri"/>
                <w:noProof/>
                <w:color w:val="FF0000"/>
              </w:rPr>
              <w:t>December 18,</w:t>
            </w:r>
            <w:r w:rsidR="00536F7C" w:rsidRPr="00536F7C">
              <w:rPr>
                <w:rFonts w:cs="Calibri"/>
                <w:noProof/>
                <w:color w:val="FF0000"/>
              </w:rPr>
              <w:t xml:space="preserve"> 2017</w:t>
            </w:r>
          </w:p>
        </w:tc>
      </w:tr>
      <w:tr w:rsidR="009668EC" w:rsidRPr="00B3396B" w14:paraId="452EED32" w14:textId="77777777" w:rsidTr="00BD08D9">
        <w:tc>
          <w:tcPr>
            <w:tcW w:w="6948" w:type="dxa"/>
            <w:tcBorders>
              <w:top w:val="single" w:sz="4" w:space="0" w:color="auto"/>
              <w:bottom w:val="single" w:sz="4" w:space="0" w:color="auto"/>
              <w:right w:val="single" w:sz="4" w:space="0" w:color="auto"/>
            </w:tcBorders>
          </w:tcPr>
          <w:p w14:paraId="25E472C7" w14:textId="77777777" w:rsidR="009668EC" w:rsidRPr="005F4DCE" w:rsidRDefault="009668EC" w:rsidP="00BD08D9">
            <w:pPr>
              <w:rPr>
                <w:rFonts w:cs="Calibri"/>
                <w:noProof/>
              </w:rPr>
            </w:pPr>
            <w:r w:rsidRPr="00AE529A">
              <w:rPr>
                <w:rFonts w:cs="Calibri"/>
                <w:noProof/>
              </w:rPr>
              <w:t>Depa</w:t>
            </w:r>
            <w:r>
              <w:rPr>
                <w:rFonts w:cs="Calibri"/>
                <w:noProof/>
              </w:rPr>
              <w:t>rtment R</w:t>
            </w:r>
            <w:r w:rsidRPr="00AE529A">
              <w:rPr>
                <w:rFonts w:cs="Calibri"/>
                <w:noProof/>
              </w:rPr>
              <w:t xml:space="preserve">esponse to </w:t>
            </w:r>
            <w:r>
              <w:rPr>
                <w:rFonts w:cs="Calibri"/>
                <w:noProof/>
              </w:rPr>
              <w:t>S</w:t>
            </w:r>
            <w:r w:rsidRPr="00AE529A">
              <w:rPr>
                <w:rFonts w:cs="Calibri"/>
                <w:noProof/>
              </w:rPr>
              <w:t>econd</w:t>
            </w:r>
            <w:r>
              <w:rPr>
                <w:rFonts w:cs="Calibri"/>
                <w:noProof/>
              </w:rPr>
              <w:t xml:space="preserve"> S</w:t>
            </w:r>
            <w:r w:rsidRPr="00AE529A">
              <w:rPr>
                <w:rFonts w:cs="Calibri"/>
                <w:noProof/>
              </w:rPr>
              <w:t>ubmission of Bidder Questions</w:t>
            </w:r>
          </w:p>
        </w:tc>
        <w:tc>
          <w:tcPr>
            <w:tcW w:w="2628" w:type="dxa"/>
            <w:tcBorders>
              <w:top w:val="single" w:sz="4" w:space="0" w:color="auto"/>
              <w:left w:val="single" w:sz="4" w:space="0" w:color="auto"/>
              <w:bottom w:val="single" w:sz="4" w:space="0" w:color="auto"/>
            </w:tcBorders>
          </w:tcPr>
          <w:p w14:paraId="0FB3897C" w14:textId="77777777" w:rsidR="009668EC" w:rsidRPr="00536F7C" w:rsidRDefault="009668EC" w:rsidP="00BD08D9">
            <w:pPr>
              <w:jc w:val="center"/>
              <w:rPr>
                <w:rFonts w:cs="Calibri"/>
                <w:strike/>
                <w:noProof/>
                <w:color w:val="0070C0"/>
              </w:rPr>
            </w:pPr>
            <w:r w:rsidRPr="00536F7C">
              <w:rPr>
                <w:rFonts w:cs="Calibri"/>
                <w:strike/>
                <w:noProof/>
                <w:color w:val="0070C0"/>
              </w:rPr>
              <w:t>November 30, 2017</w:t>
            </w:r>
          </w:p>
          <w:p w14:paraId="48141322" w14:textId="1A9A180B" w:rsidR="00536F7C" w:rsidRPr="00536F7C" w:rsidRDefault="0090475E" w:rsidP="00BD08D9">
            <w:pPr>
              <w:jc w:val="center"/>
              <w:rPr>
                <w:rFonts w:cs="Calibri"/>
                <w:noProof/>
              </w:rPr>
            </w:pPr>
            <w:r>
              <w:rPr>
                <w:rFonts w:cs="Calibri"/>
                <w:noProof/>
                <w:color w:val="FF0000"/>
              </w:rPr>
              <w:t>December 2</w:t>
            </w:r>
            <w:r w:rsidR="00D81A12">
              <w:rPr>
                <w:rFonts w:cs="Calibri"/>
                <w:noProof/>
                <w:color w:val="FF0000"/>
              </w:rPr>
              <w:t>8</w:t>
            </w:r>
            <w:r w:rsidR="00536F7C" w:rsidRPr="00536F7C">
              <w:rPr>
                <w:rFonts w:cs="Calibri"/>
                <w:noProof/>
                <w:color w:val="FF0000"/>
              </w:rPr>
              <w:t>, 2017</w:t>
            </w:r>
          </w:p>
        </w:tc>
      </w:tr>
      <w:tr w:rsidR="009668EC" w:rsidRPr="00A96A42" w14:paraId="3556F639" w14:textId="77777777" w:rsidTr="00BD08D9">
        <w:tc>
          <w:tcPr>
            <w:tcW w:w="6948" w:type="dxa"/>
            <w:tcBorders>
              <w:top w:val="single" w:sz="4" w:space="0" w:color="auto"/>
              <w:bottom w:val="single" w:sz="4" w:space="0" w:color="auto"/>
              <w:right w:val="single" w:sz="4" w:space="0" w:color="auto"/>
            </w:tcBorders>
          </w:tcPr>
          <w:p w14:paraId="344E7BF2" w14:textId="77777777" w:rsidR="009668EC" w:rsidRPr="005F4DCE" w:rsidRDefault="009668EC" w:rsidP="00BD08D9">
            <w:pPr>
              <w:spacing w:line="240" w:lineRule="auto"/>
              <w:rPr>
                <w:rFonts w:cs="Calibri"/>
                <w:noProof/>
              </w:rPr>
            </w:pPr>
            <w:r w:rsidRPr="005F4DCE">
              <w:rPr>
                <w:rFonts w:cs="Calibri"/>
                <w:noProof/>
              </w:rPr>
              <w:t>Proposals Due</w:t>
            </w:r>
          </w:p>
        </w:tc>
        <w:tc>
          <w:tcPr>
            <w:tcW w:w="2628" w:type="dxa"/>
            <w:tcBorders>
              <w:top w:val="single" w:sz="4" w:space="0" w:color="auto"/>
              <w:left w:val="single" w:sz="4" w:space="0" w:color="auto"/>
              <w:bottom w:val="single" w:sz="4" w:space="0" w:color="auto"/>
            </w:tcBorders>
          </w:tcPr>
          <w:p w14:paraId="41F5B227" w14:textId="3A30D791" w:rsidR="009668EC" w:rsidRDefault="009668EC" w:rsidP="00BD08D9">
            <w:pPr>
              <w:spacing w:line="240" w:lineRule="auto"/>
              <w:jc w:val="center"/>
              <w:rPr>
                <w:rFonts w:cs="Calibri"/>
                <w:strike/>
                <w:noProof/>
                <w:color w:val="0070C0"/>
              </w:rPr>
            </w:pPr>
            <w:r w:rsidRPr="00040D4C">
              <w:rPr>
                <w:rFonts w:cs="Calibri"/>
                <w:strike/>
                <w:noProof/>
                <w:color w:val="0070C0"/>
              </w:rPr>
              <w:t>December 11, 2017</w:t>
            </w:r>
          </w:p>
          <w:p w14:paraId="7ECAA5FF" w14:textId="47BF1B0A" w:rsidR="00040D4C" w:rsidRPr="00040D4C" w:rsidRDefault="00040D4C" w:rsidP="00BD08D9">
            <w:pPr>
              <w:spacing w:line="240" w:lineRule="auto"/>
              <w:jc w:val="center"/>
              <w:rPr>
                <w:rFonts w:cs="Calibri"/>
                <w:noProof/>
                <w:color w:val="FF0000"/>
              </w:rPr>
            </w:pPr>
            <w:r w:rsidRPr="00040D4C">
              <w:rPr>
                <w:rFonts w:cs="Calibri"/>
                <w:noProof/>
                <w:color w:val="FF0000"/>
              </w:rPr>
              <w:t xml:space="preserve">January </w:t>
            </w:r>
            <w:r w:rsidR="0090475E">
              <w:rPr>
                <w:rFonts w:cs="Calibri"/>
                <w:noProof/>
                <w:color w:val="FF0000"/>
              </w:rPr>
              <w:t>1</w:t>
            </w:r>
            <w:r w:rsidR="00D81A12">
              <w:rPr>
                <w:rFonts w:cs="Calibri"/>
                <w:noProof/>
                <w:color w:val="FF0000"/>
              </w:rPr>
              <w:t>2</w:t>
            </w:r>
            <w:r w:rsidRPr="00040D4C">
              <w:rPr>
                <w:rFonts w:cs="Calibri"/>
                <w:noProof/>
                <w:color w:val="FF0000"/>
              </w:rPr>
              <w:t>, 2018</w:t>
            </w:r>
          </w:p>
          <w:p w14:paraId="09C067B3" w14:textId="77777777" w:rsidR="009668EC" w:rsidRPr="009668EC" w:rsidRDefault="009668EC" w:rsidP="00BD08D9">
            <w:pPr>
              <w:spacing w:line="240" w:lineRule="auto"/>
              <w:jc w:val="center"/>
              <w:rPr>
                <w:rFonts w:cs="Calibri"/>
                <w:noProof/>
                <w:highlight w:val="yellow"/>
              </w:rPr>
            </w:pPr>
            <w:r w:rsidRPr="00040D4C">
              <w:rPr>
                <w:rFonts w:cs="Calibri"/>
                <w:noProof/>
              </w:rPr>
              <w:t>By 2:00 PM EST</w:t>
            </w:r>
          </w:p>
        </w:tc>
      </w:tr>
      <w:tr w:rsidR="009668EC" w:rsidRPr="00B3396B" w14:paraId="36A777E5" w14:textId="77777777" w:rsidTr="00BD08D9">
        <w:tc>
          <w:tcPr>
            <w:tcW w:w="6948" w:type="dxa"/>
            <w:tcBorders>
              <w:top w:val="single" w:sz="4" w:space="0" w:color="auto"/>
              <w:bottom w:val="single" w:sz="4" w:space="0" w:color="auto"/>
              <w:right w:val="single" w:sz="4" w:space="0" w:color="auto"/>
            </w:tcBorders>
          </w:tcPr>
          <w:p w14:paraId="6430CB63" w14:textId="77777777" w:rsidR="009668EC" w:rsidRPr="005F4DCE" w:rsidRDefault="009668EC" w:rsidP="00BD08D9">
            <w:pPr>
              <w:rPr>
                <w:rFonts w:cs="Calibri"/>
                <w:noProof/>
              </w:rPr>
            </w:pPr>
            <w:r w:rsidRPr="005F4DCE">
              <w:rPr>
                <w:rFonts w:cs="Calibri"/>
                <w:noProof/>
              </w:rPr>
              <w:t>Notification of Intent to Award</w:t>
            </w:r>
          </w:p>
        </w:tc>
        <w:tc>
          <w:tcPr>
            <w:tcW w:w="2628" w:type="dxa"/>
            <w:tcBorders>
              <w:top w:val="single" w:sz="4" w:space="0" w:color="auto"/>
              <w:left w:val="single" w:sz="4" w:space="0" w:color="auto"/>
              <w:bottom w:val="single" w:sz="4" w:space="0" w:color="auto"/>
            </w:tcBorders>
          </w:tcPr>
          <w:p w14:paraId="3F973DDB" w14:textId="77777777" w:rsidR="009668EC" w:rsidRPr="001D097F" w:rsidRDefault="009668EC" w:rsidP="00BD08D9">
            <w:pPr>
              <w:jc w:val="center"/>
              <w:rPr>
                <w:rFonts w:cs="Calibri"/>
                <w:strike/>
                <w:noProof/>
                <w:color w:val="0070C0"/>
              </w:rPr>
            </w:pPr>
            <w:r w:rsidRPr="001D097F">
              <w:rPr>
                <w:rFonts w:cs="Calibri"/>
                <w:strike/>
                <w:noProof/>
                <w:color w:val="0070C0"/>
              </w:rPr>
              <w:t>January 3, 2018</w:t>
            </w:r>
          </w:p>
          <w:p w14:paraId="3EF77745" w14:textId="553230C7" w:rsidR="00033E37" w:rsidRPr="009668EC" w:rsidRDefault="0090475E" w:rsidP="00BD08D9">
            <w:pPr>
              <w:jc w:val="center"/>
              <w:rPr>
                <w:rFonts w:cs="Calibri"/>
                <w:noProof/>
                <w:highlight w:val="yellow"/>
              </w:rPr>
            </w:pPr>
            <w:r>
              <w:rPr>
                <w:rFonts w:cs="Calibri"/>
                <w:noProof/>
                <w:color w:val="FF0000"/>
              </w:rPr>
              <w:t xml:space="preserve">February </w:t>
            </w:r>
            <w:r w:rsidR="00964915">
              <w:rPr>
                <w:rFonts w:cs="Calibri"/>
                <w:noProof/>
                <w:color w:val="FF0000"/>
              </w:rPr>
              <w:t>6</w:t>
            </w:r>
            <w:r w:rsidR="00033E37" w:rsidRPr="001D097F">
              <w:rPr>
                <w:rFonts w:cs="Calibri"/>
                <w:noProof/>
                <w:color w:val="FF0000"/>
              </w:rPr>
              <w:t>, 2018</w:t>
            </w:r>
          </w:p>
        </w:tc>
      </w:tr>
      <w:tr w:rsidR="009668EC" w:rsidRPr="00B3396B" w14:paraId="13A9B794" w14:textId="77777777" w:rsidTr="00BD08D9">
        <w:tc>
          <w:tcPr>
            <w:tcW w:w="6948" w:type="dxa"/>
            <w:tcBorders>
              <w:top w:val="single" w:sz="4" w:space="0" w:color="auto"/>
              <w:bottom w:val="single" w:sz="4" w:space="0" w:color="auto"/>
              <w:right w:val="single" w:sz="4" w:space="0" w:color="auto"/>
            </w:tcBorders>
          </w:tcPr>
          <w:p w14:paraId="51AF6043" w14:textId="77777777" w:rsidR="009668EC" w:rsidRPr="005F4DCE" w:rsidRDefault="009668EC" w:rsidP="00BD08D9">
            <w:pPr>
              <w:rPr>
                <w:rFonts w:cs="Calibri"/>
                <w:noProof/>
              </w:rPr>
            </w:pPr>
            <w:r w:rsidRPr="005F4DCE">
              <w:rPr>
                <w:rFonts w:cs="Calibri"/>
                <w:noProof/>
              </w:rPr>
              <w:t>Deadline for Contract Signature</w:t>
            </w:r>
          </w:p>
        </w:tc>
        <w:tc>
          <w:tcPr>
            <w:tcW w:w="2628" w:type="dxa"/>
            <w:tcBorders>
              <w:top w:val="single" w:sz="4" w:space="0" w:color="auto"/>
              <w:left w:val="single" w:sz="4" w:space="0" w:color="auto"/>
              <w:bottom w:val="single" w:sz="4" w:space="0" w:color="auto"/>
            </w:tcBorders>
          </w:tcPr>
          <w:p w14:paraId="39C51321" w14:textId="77777777" w:rsidR="009668EC" w:rsidRPr="001D097F" w:rsidRDefault="009668EC" w:rsidP="00BD08D9">
            <w:pPr>
              <w:jc w:val="center"/>
              <w:rPr>
                <w:rFonts w:cs="Calibri"/>
                <w:strike/>
                <w:noProof/>
                <w:color w:val="0070C0"/>
              </w:rPr>
            </w:pPr>
            <w:r w:rsidRPr="001D097F">
              <w:rPr>
                <w:rFonts w:cs="Calibri"/>
                <w:strike/>
                <w:noProof/>
                <w:color w:val="0070C0"/>
              </w:rPr>
              <w:t>February 1, 2018</w:t>
            </w:r>
          </w:p>
          <w:p w14:paraId="500CBC89" w14:textId="613F5F47" w:rsidR="001D097F" w:rsidRPr="009668EC" w:rsidRDefault="00964915" w:rsidP="00BD08D9">
            <w:pPr>
              <w:jc w:val="center"/>
              <w:rPr>
                <w:rFonts w:cs="Calibri"/>
                <w:noProof/>
                <w:highlight w:val="yellow"/>
              </w:rPr>
            </w:pPr>
            <w:r>
              <w:rPr>
                <w:rFonts w:cs="Calibri"/>
                <w:noProof/>
                <w:color w:val="FF0000"/>
              </w:rPr>
              <w:t>March 6</w:t>
            </w:r>
            <w:r w:rsidR="001D097F" w:rsidRPr="001D097F">
              <w:rPr>
                <w:rFonts w:cs="Calibri"/>
                <w:noProof/>
                <w:color w:val="FF0000"/>
              </w:rPr>
              <w:t>, 2018</w:t>
            </w:r>
          </w:p>
        </w:tc>
      </w:tr>
      <w:tr w:rsidR="009668EC" w:rsidRPr="00B3396B" w14:paraId="66592AC3" w14:textId="77777777" w:rsidTr="00BD08D9">
        <w:tc>
          <w:tcPr>
            <w:tcW w:w="6948" w:type="dxa"/>
            <w:tcBorders>
              <w:top w:val="single" w:sz="4" w:space="0" w:color="auto"/>
              <w:bottom w:val="single" w:sz="4" w:space="0" w:color="auto"/>
              <w:right w:val="single" w:sz="4" w:space="0" w:color="auto"/>
            </w:tcBorders>
          </w:tcPr>
          <w:p w14:paraId="70F45A24" w14:textId="77777777" w:rsidR="009668EC" w:rsidRPr="00AE529A" w:rsidRDefault="009668EC" w:rsidP="00BD08D9">
            <w:pPr>
              <w:rPr>
                <w:rFonts w:cs="Calibri"/>
                <w:noProof/>
                <w:highlight w:val="yellow"/>
              </w:rPr>
            </w:pPr>
            <w:r w:rsidRPr="007A5DF3">
              <w:t xml:space="preserve">Anticipated </w:t>
            </w:r>
            <w:r>
              <w:rPr>
                <w:rFonts w:cs="Calibri"/>
                <w:noProof/>
              </w:rPr>
              <w:t>Contract Start</w:t>
            </w:r>
            <w:r w:rsidRPr="007A5DF3">
              <w:t xml:space="preserve"> Date</w:t>
            </w:r>
          </w:p>
        </w:tc>
        <w:tc>
          <w:tcPr>
            <w:tcW w:w="2628" w:type="dxa"/>
            <w:tcBorders>
              <w:top w:val="single" w:sz="4" w:space="0" w:color="auto"/>
              <w:left w:val="single" w:sz="4" w:space="0" w:color="auto"/>
            </w:tcBorders>
          </w:tcPr>
          <w:p w14:paraId="69330BD0" w14:textId="77777777" w:rsidR="009668EC" w:rsidRPr="009668EC" w:rsidRDefault="009668EC" w:rsidP="00BD08D9">
            <w:pPr>
              <w:jc w:val="center"/>
              <w:rPr>
                <w:rFonts w:cs="Calibri"/>
                <w:noProof/>
                <w:highlight w:val="yellow"/>
              </w:rPr>
            </w:pPr>
            <w:r w:rsidRPr="001D097F">
              <w:rPr>
                <w:rFonts w:cs="Calibri"/>
                <w:noProof/>
              </w:rPr>
              <w:t>April 2, 2018</w:t>
            </w:r>
          </w:p>
        </w:tc>
      </w:tr>
    </w:tbl>
    <w:p w14:paraId="74959E79" w14:textId="0F08B9F3" w:rsidR="00CF303F" w:rsidRDefault="00CF303F" w:rsidP="004355EA">
      <w:pPr>
        <w:rPr>
          <w:rFonts w:cstheme="minorHAnsi"/>
        </w:rPr>
      </w:pPr>
    </w:p>
    <w:p w14:paraId="5CD2499C" w14:textId="77777777" w:rsidR="00CF303F" w:rsidRDefault="00CF303F">
      <w:pPr>
        <w:rPr>
          <w:rFonts w:cstheme="minorHAnsi"/>
        </w:rPr>
      </w:pPr>
      <w:r>
        <w:rPr>
          <w:rFonts w:cstheme="minorHAnsi"/>
        </w:rPr>
        <w:br w:type="page"/>
      </w:r>
    </w:p>
    <w:p w14:paraId="437B1A3A" w14:textId="77777777" w:rsidR="00CF303F" w:rsidRPr="00CF303F" w:rsidRDefault="00CF303F" w:rsidP="00CF303F">
      <w:pPr>
        <w:ind w:left="720"/>
        <w:jc w:val="both"/>
        <w:rPr>
          <w:rFonts w:ascii="Calibri" w:eastAsia="Calibri" w:hAnsi="Calibri" w:cs="Arial"/>
          <w:szCs w:val="20"/>
        </w:rPr>
      </w:pPr>
      <w:r w:rsidRPr="00CF303F">
        <w:rPr>
          <w:rFonts w:ascii="Calibri" w:eastAsia="Calibri" w:hAnsi="Calibri" w:cs="Arial"/>
          <w:szCs w:val="20"/>
        </w:rPr>
        <w:lastRenderedPageBreak/>
        <w:t xml:space="preserve">Section 466(a) (17), to establish procedures under which the State IV-D agency will </w:t>
      </w:r>
      <w:proofErr w:type="gramStart"/>
      <w:r w:rsidRPr="00CF303F">
        <w:rPr>
          <w:rFonts w:ascii="Calibri" w:eastAsia="Calibri" w:hAnsi="Calibri" w:cs="Arial"/>
          <w:szCs w:val="20"/>
        </w:rPr>
        <w:t>enter into agreements</w:t>
      </w:r>
      <w:proofErr w:type="gramEnd"/>
      <w:r w:rsidRPr="00CF303F">
        <w:rPr>
          <w:rFonts w:ascii="Calibri" w:eastAsia="Calibri" w:hAnsi="Calibri" w:cs="Arial"/>
          <w:szCs w:val="20"/>
        </w:rPr>
        <w:t xml:space="preserve"> with financial institutions doing business in the state for the purpose of securing information leading to the enforcement of child support orders.</w:t>
      </w:r>
    </w:p>
    <w:p w14:paraId="64A9F138" w14:textId="77777777" w:rsidR="00CF303F" w:rsidRPr="00CF303F" w:rsidRDefault="00CF303F" w:rsidP="00CF303F">
      <w:pPr>
        <w:ind w:left="720"/>
        <w:jc w:val="both"/>
        <w:rPr>
          <w:rFonts w:ascii="Calibri" w:eastAsia="Calibri" w:hAnsi="Calibri" w:cs="Arial"/>
          <w:szCs w:val="20"/>
        </w:rPr>
      </w:pPr>
      <w:r w:rsidRPr="00CF303F">
        <w:rPr>
          <w:rFonts w:ascii="Calibri" w:eastAsia="Calibri" w:hAnsi="Calibri" w:cs="Arial"/>
          <w:szCs w:val="20"/>
        </w:rPr>
        <w:t xml:space="preserve">Participation in the DTF FIDM program is governed by NYS Tax Law Article 36 </w:t>
      </w:r>
      <w:r w:rsidRPr="00CF303F">
        <w:rPr>
          <w:rFonts w:ascii="Times New Roman" w:eastAsia="Calibri" w:hAnsi="Times New Roman" w:cs="Times New Roman"/>
          <w:szCs w:val="20"/>
        </w:rPr>
        <w:t>§</w:t>
      </w:r>
      <w:r w:rsidRPr="00CF303F">
        <w:rPr>
          <w:rFonts w:ascii="Calibri" w:eastAsia="Calibri" w:hAnsi="Calibri" w:cs="Arial"/>
          <w:szCs w:val="20"/>
        </w:rPr>
        <w:t xml:space="preserve"> 1701 which states, “If a financial institution has a data match system developed or used to administer the Child Support Enforcement program of this state, and if that system is approved by the commissioner or the commissioners’ authorized designee, the financial institution may use that system to comply with the provisions of this Section.”  </w:t>
      </w:r>
    </w:p>
    <w:p w14:paraId="6697DC7D" w14:textId="77777777" w:rsidR="00CF303F" w:rsidRPr="00CF303F" w:rsidRDefault="00CF303F" w:rsidP="00CF303F">
      <w:pPr>
        <w:ind w:left="720"/>
        <w:jc w:val="both"/>
        <w:rPr>
          <w:rFonts w:ascii="Calibri" w:eastAsia="Calibri" w:hAnsi="Calibri" w:cs="Arial"/>
          <w:szCs w:val="20"/>
        </w:rPr>
      </w:pPr>
      <w:r w:rsidRPr="00CF303F">
        <w:rPr>
          <w:rFonts w:ascii="Calibri" w:eastAsia="Calibri" w:hAnsi="Calibri" w:cs="Arial"/>
          <w:szCs w:val="20"/>
        </w:rPr>
        <w:t>Accordingly, two (2) methods are permitted:</w:t>
      </w:r>
    </w:p>
    <w:p w14:paraId="6AF29DDF" w14:textId="77777777" w:rsidR="00CF303F" w:rsidRPr="00CF303F" w:rsidRDefault="00CF303F" w:rsidP="00CF303F">
      <w:pPr>
        <w:numPr>
          <w:ilvl w:val="0"/>
          <w:numId w:val="4"/>
        </w:numPr>
        <w:tabs>
          <w:tab w:val="num" w:pos="960"/>
        </w:tabs>
        <w:spacing w:after="0"/>
        <w:ind w:left="960" w:hanging="300"/>
        <w:jc w:val="both"/>
        <w:rPr>
          <w:rFonts w:ascii="Calibri" w:eastAsia="Calibri" w:hAnsi="Calibri" w:cs="Arial"/>
          <w:szCs w:val="20"/>
        </w:rPr>
      </w:pPr>
      <w:r w:rsidRPr="00CF303F">
        <w:rPr>
          <w:rFonts w:ascii="Calibri" w:eastAsia="Calibri" w:hAnsi="Calibri" w:cs="Arial"/>
          <w:szCs w:val="20"/>
        </w:rPr>
        <w:t>Under Method 1 (All Accounts Method), the FI submits a file (to the Contractor) containing all open accounts.  The Contractor will then match the accounts against the record of Tax Debtors provided by the Department.</w:t>
      </w:r>
    </w:p>
    <w:p w14:paraId="789F5484" w14:textId="77777777" w:rsidR="00CF303F" w:rsidRPr="00CF303F" w:rsidRDefault="00CF303F" w:rsidP="00CF303F">
      <w:pPr>
        <w:numPr>
          <w:ilvl w:val="0"/>
          <w:numId w:val="3"/>
        </w:numPr>
        <w:tabs>
          <w:tab w:val="num" w:pos="960"/>
        </w:tabs>
        <w:spacing w:before="240" w:after="0"/>
        <w:ind w:left="960" w:hanging="300"/>
        <w:jc w:val="both"/>
        <w:rPr>
          <w:rFonts w:ascii="Calibri" w:eastAsia="Calibri" w:hAnsi="Calibri" w:cs="Arial"/>
          <w:szCs w:val="20"/>
        </w:rPr>
      </w:pPr>
      <w:r w:rsidRPr="00CF303F">
        <w:rPr>
          <w:rFonts w:ascii="Calibri" w:eastAsia="Calibri" w:hAnsi="Calibri" w:cs="Arial"/>
          <w:szCs w:val="20"/>
        </w:rPr>
        <w:t xml:space="preserve">Under Method 2 (Matched Accounts Method), the FI receives a file (from the Contractor) containing records of Tax Debtors, matches the file against all open accounts, and submits a file of matched records to the Contractor.  </w:t>
      </w:r>
    </w:p>
    <w:p w14:paraId="137A4A5C" w14:textId="77777777" w:rsidR="00CF303F" w:rsidRPr="00CF303F" w:rsidRDefault="00CF303F" w:rsidP="00CF303F">
      <w:pPr>
        <w:spacing w:before="240"/>
        <w:ind w:left="720"/>
        <w:jc w:val="both"/>
        <w:rPr>
          <w:rFonts w:ascii="Calibri" w:eastAsia="Calibri" w:hAnsi="Calibri" w:cs="Arial"/>
          <w:b/>
          <w:szCs w:val="20"/>
        </w:rPr>
      </w:pPr>
      <w:r w:rsidRPr="00CF303F">
        <w:rPr>
          <w:rFonts w:ascii="Calibri" w:eastAsia="Calibri" w:hAnsi="Calibri" w:cs="Arial"/>
          <w:b/>
          <w:szCs w:val="20"/>
        </w:rPr>
        <w:t>The successful Bidder must be able to handle both methods.  The choice of method is made by the Financial Institution.</w:t>
      </w:r>
    </w:p>
    <w:p w14:paraId="55836F61" w14:textId="77777777" w:rsidR="00CF303F" w:rsidRPr="00CF303F" w:rsidRDefault="00CF303F" w:rsidP="00CF303F">
      <w:pPr>
        <w:ind w:left="720"/>
        <w:jc w:val="both"/>
        <w:rPr>
          <w:rFonts w:ascii="Calibri" w:eastAsia="Calibri" w:hAnsi="Calibri" w:cs="Arial"/>
          <w:szCs w:val="20"/>
        </w:rPr>
      </w:pPr>
      <w:r w:rsidRPr="00CF303F">
        <w:rPr>
          <w:rFonts w:ascii="Calibri" w:eastAsia="Calibri" w:hAnsi="Calibri" w:cs="Arial"/>
          <w:szCs w:val="20"/>
        </w:rPr>
        <w:t xml:space="preserve">Many of the FIs operating in NYS do business in more than one state. In the OTDA program, FIs operating in more than one state have the option to conduct these matches directly with the federal government.  The DTF FIDM program does </w:t>
      </w:r>
      <w:r w:rsidRPr="00CF303F">
        <w:rPr>
          <w:rFonts w:ascii="Calibri" w:eastAsia="Calibri" w:hAnsi="Calibri" w:cs="Arial"/>
          <w:b/>
          <w:szCs w:val="20"/>
          <w:u w:val="single"/>
        </w:rPr>
        <w:t>NOT</w:t>
      </w:r>
      <w:r w:rsidRPr="00CF303F">
        <w:rPr>
          <w:rFonts w:ascii="Calibri" w:eastAsia="Calibri" w:hAnsi="Calibri" w:cs="Arial"/>
          <w:b/>
          <w:szCs w:val="20"/>
        </w:rPr>
        <w:t xml:space="preserve"> </w:t>
      </w:r>
      <w:r w:rsidRPr="00CF303F">
        <w:rPr>
          <w:rFonts w:ascii="Calibri" w:eastAsia="Calibri" w:hAnsi="Calibri" w:cs="Arial"/>
          <w:szCs w:val="20"/>
        </w:rPr>
        <w:t xml:space="preserve">include this option.  Multi-state FIs are required to participate in the DTF FIDM program utilizing one of the methods identified above. </w:t>
      </w:r>
    </w:p>
    <w:p w14:paraId="2E54D2C7" w14:textId="6C28FB27" w:rsidR="00CF303F" w:rsidRPr="00CF303F" w:rsidRDefault="00CF303F" w:rsidP="00CF303F">
      <w:pPr>
        <w:ind w:left="720"/>
        <w:jc w:val="both"/>
        <w:rPr>
          <w:rFonts w:ascii="Calibri" w:eastAsia="Calibri" w:hAnsi="Calibri" w:cs="Arial"/>
          <w:szCs w:val="20"/>
        </w:rPr>
      </w:pPr>
      <w:r w:rsidRPr="00CF303F">
        <w:rPr>
          <w:rFonts w:ascii="Calibri" w:eastAsia="Calibri" w:hAnsi="Calibri" w:cs="Arial"/>
          <w:szCs w:val="20"/>
        </w:rPr>
        <w:t xml:space="preserve">A matching program enabled by this legislation and using the methods described has been in place since 2009. The Department currently has agreements with </w:t>
      </w:r>
      <w:r w:rsidRPr="00CF303F">
        <w:rPr>
          <w:rFonts w:ascii="Calibri" w:eastAsia="Calibri" w:hAnsi="Calibri" w:cs="Arial"/>
          <w:strike/>
          <w:color w:val="0070C0"/>
          <w:szCs w:val="20"/>
        </w:rPr>
        <w:t>570</w:t>
      </w:r>
      <w:r>
        <w:rPr>
          <w:rFonts w:ascii="Calibri" w:eastAsia="Calibri" w:hAnsi="Calibri" w:cs="Arial"/>
          <w:szCs w:val="20"/>
        </w:rPr>
        <w:t xml:space="preserve"> </w:t>
      </w:r>
      <w:r>
        <w:rPr>
          <w:rFonts w:ascii="Calibri" w:eastAsia="Calibri" w:hAnsi="Calibri" w:cs="Arial"/>
          <w:color w:val="FF0000"/>
          <w:szCs w:val="20"/>
        </w:rPr>
        <w:t>605</w:t>
      </w:r>
      <w:r w:rsidRPr="00CF303F">
        <w:rPr>
          <w:rFonts w:ascii="Calibri" w:eastAsia="Calibri" w:hAnsi="Calibri" w:cs="Arial"/>
          <w:szCs w:val="20"/>
        </w:rPr>
        <w:t xml:space="preserve"> FIs doing business in NYS who are matching on a quarterly basis.     </w:t>
      </w:r>
    </w:p>
    <w:p w14:paraId="0726DD69" w14:textId="17CC5057" w:rsidR="00CF303F" w:rsidRPr="00CF303F" w:rsidRDefault="00CF303F" w:rsidP="00CF303F">
      <w:pPr>
        <w:pStyle w:val="ListParagraph"/>
        <w:keepNext/>
        <w:numPr>
          <w:ilvl w:val="1"/>
          <w:numId w:val="7"/>
        </w:numPr>
        <w:spacing w:before="240" w:after="60"/>
        <w:ind w:left="720" w:hanging="720"/>
        <w:outlineLvl w:val="1"/>
        <w:rPr>
          <w:rFonts w:ascii="Calibri" w:eastAsia="Times New Roman" w:hAnsi="Calibri" w:cs="Calibri"/>
          <w:b/>
          <w:bCs/>
          <w:iCs/>
          <w:sz w:val="28"/>
          <w:szCs w:val="28"/>
          <w:lang w:eastAsia="x-none"/>
        </w:rPr>
      </w:pPr>
      <w:bookmarkStart w:id="3" w:name="_Toc497313836"/>
      <w:r w:rsidRPr="00CF303F">
        <w:rPr>
          <w:rFonts w:ascii="Calibri" w:eastAsia="Times New Roman" w:hAnsi="Calibri" w:cs="Calibri"/>
          <w:b/>
          <w:bCs/>
          <w:iCs/>
          <w:sz w:val="28"/>
          <w:szCs w:val="28"/>
          <w:lang w:eastAsia="x-none"/>
        </w:rPr>
        <w:t>Scope of Services</w:t>
      </w:r>
      <w:bookmarkEnd w:id="3"/>
    </w:p>
    <w:p w14:paraId="7908B2B3" w14:textId="77777777" w:rsidR="00CF303F" w:rsidRPr="00CF303F" w:rsidRDefault="00CF303F" w:rsidP="00CF303F">
      <w:pPr>
        <w:spacing w:before="240"/>
        <w:ind w:left="720"/>
        <w:jc w:val="both"/>
        <w:rPr>
          <w:rFonts w:ascii="Calibri" w:eastAsia="Calibri" w:hAnsi="Calibri" w:cs="Times New Roman"/>
        </w:rPr>
      </w:pPr>
      <w:r w:rsidRPr="00CF303F">
        <w:rPr>
          <w:rFonts w:ascii="Calibri" w:eastAsia="Calibri" w:hAnsi="Calibri" w:cs="Times New Roman"/>
        </w:rPr>
        <w:t xml:space="preserve">The Department will require the Contractor to establish, implement and maintain a direct relationship with the FIs </w:t>
      </w:r>
      <w:proofErr w:type="gramStart"/>
      <w:r w:rsidRPr="00CF303F">
        <w:rPr>
          <w:rFonts w:ascii="Calibri" w:eastAsia="Calibri" w:hAnsi="Calibri" w:cs="Times New Roman"/>
        </w:rPr>
        <w:t>for the purpose of</w:t>
      </w:r>
      <w:proofErr w:type="gramEnd"/>
      <w:r w:rsidRPr="00CF303F">
        <w:rPr>
          <w:rFonts w:ascii="Calibri" w:eastAsia="Calibri" w:hAnsi="Calibri" w:cs="Times New Roman"/>
        </w:rPr>
        <w:t xml:space="preserve"> ensuring accurate matching of the records of Tax Debtors identified by the Department with records of account holders at the FIs.  The Contractor will be required to:</w:t>
      </w:r>
    </w:p>
    <w:p w14:paraId="5DBC67A6" w14:textId="6410CC2C" w:rsidR="00CF303F" w:rsidRDefault="00CF303F" w:rsidP="00CF303F">
      <w:pPr>
        <w:numPr>
          <w:ilvl w:val="0"/>
          <w:numId w:val="5"/>
        </w:numPr>
        <w:tabs>
          <w:tab w:val="num" w:pos="1440"/>
        </w:tabs>
        <w:ind w:left="1440"/>
        <w:jc w:val="both"/>
        <w:rPr>
          <w:rFonts w:ascii="Calibri" w:eastAsia="Calibri" w:hAnsi="Calibri" w:cs="Times New Roman"/>
        </w:rPr>
      </w:pPr>
      <w:r w:rsidRPr="00CF303F">
        <w:rPr>
          <w:rFonts w:ascii="Calibri" w:eastAsia="Calibri" w:hAnsi="Calibri" w:cs="Times New Roman"/>
        </w:rPr>
        <w:t>Establish, expand, and maintain an inventory of FIs doing business in New York State and provide the inventory and updates to the Department;</w:t>
      </w:r>
    </w:p>
    <w:p w14:paraId="7375B070" w14:textId="2F61FA6E" w:rsidR="00CF303F" w:rsidRPr="00CF303F" w:rsidRDefault="00CF303F" w:rsidP="0048432C">
      <w:pPr>
        <w:pStyle w:val="ListParagraph"/>
        <w:numPr>
          <w:ilvl w:val="0"/>
          <w:numId w:val="5"/>
        </w:numPr>
        <w:tabs>
          <w:tab w:val="clear" w:pos="720"/>
        </w:tabs>
        <w:spacing w:after="0"/>
        <w:ind w:left="1440"/>
        <w:jc w:val="both"/>
        <w:rPr>
          <w:rFonts w:ascii="Calibri" w:eastAsia="Calibri" w:hAnsi="Calibri" w:cs="Times New Roman"/>
        </w:rPr>
      </w:pPr>
      <w:r w:rsidRPr="00CF303F">
        <w:rPr>
          <w:rFonts w:ascii="Calibri" w:eastAsia="Calibri" w:hAnsi="Calibri" w:cs="Times New Roman"/>
        </w:rPr>
        <w:t xml:space="preserve">Obtain signatures on a Memorandum of Agreement (MOA) between the FIs and DTF.  </w:t>
      </w:r>
      <w:r w:rsidRPr="00CF303F">
        <w:rPr>
          <w:rFonts w:ascii="Calibri" w:eastAsia="Calibri" w:hAnsi="Calibri" w:cs="Arial"/>
        </w:rPr>
        <w:t>DTF will draft the MOA and provide the MOA to the Contractor to coordinate the execution</w:t>
      </w:r>
    </w:p>
    <w:p w14:paraId="1FE1376E" w14:textId="77777777" w:rsidR="00CF303F" w:rsidRPr="00CF303F" w:rsidRDefault="00CF303F" w:rsidP="00577FA5">
      <w:pPr>
        <w:spacing w:after="0"/>
        <w:ind w:left="1440"/>
        <w:jc w:val="right"/>
        <w:rPr>
          <w:rFonts w:ascii="Calibri" w:eastAsia="Calibri" w:hAnsi="Calibri" w:cs="Times New Roman"/>
        </w:rPr>
      </w:pPr>
    </w:p>
    <w:sectPr w:rsidR="00CF303F" w:rsidRPr="00CF303F" w:rsidSect="009668EC">
      <w:headerReference w:type="default" r:id="rId22"/>
      <w:footerReference w:type="default" r:id="rId23"/>
      <w:headerReference w:type="first" r:id="rId24"/>
      <w:footerReference w:type="first" r:id="rId25"/>
      <w:pgSz w:w="12240" w:h="15840"/>
      <w:pgMar w:top="900" w:right="1440" w:bottom="720" w:left="1440" w:header="36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9CC56" w14:textId="77777777" w:rsidR="00080FCB" w:rsidRDefault="00080FCB" w:rsidP="00FC432B">
      <w:pPr>
        <w:spacing w:after="0" w:line="240" w:lineRule="auto"/>
      </w:pPr>
      <w:r>
        <w:separator/>
      </w:r>
    </w:p>
  </w:endnote>
  <w:endnote w:type="continuationSeparator" w:id="0">
    <w:p w14:paraId="3FF9CC57" w14:textId="77777777" w:rsidR="00080FCB" w:rsidRDefault="00080FCB"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0B2E" w14:textId="25A55A33" w:rsidR="00CF303F" w:rsidRPr="009668EC" w:rsidRDefault="00CF303F" w:rsidP="00577FA5">
    <w:pPr>
      <w:pStyle w:val="Footer"/>
      <w:jc w:val="right"/>
      <w:rPr>
        <w:b/>
      </w:rPr>
    </w:pPr>
    <w:r>
      <w:tab/>
    </w:r>
  </w:p>
  <w:p w14:paraId="7BC0B516" w14:textId="4014D310" w:rsidR="00CF303F" w:rsidRDefault="00CF303F" w:rsidP="00CF303F">
    <w:pPr>
      <w:pStyle w:val="Footer"/>
      <w:tabs>
        <w:tab w:val="clear" w:pos="4680"/>
        <w:tab w:val="clear" w:pos="9360"/>
        <w:tab w:val="left" w:pos="40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C77F" w14:textId="63524866" w:rsidR="00756A92" w:rsidRPr="00756A92" w:rsidRDefault="00756A92" w:rsidP="00756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2EBC" w14:textId="77777777" w:rsidR="00577FA5" w:rsidRDefault="00577FA5" w:rsidP="00CF303F">
    <w:pPr>
      <w:pStyle w:val="Footer"/>
      <w:jc w:val="right"/>
    </w:pPr>
    <w:r>
      <w:tab/>
      <w:t xml:space="preserve">Page 10 of </w:t>
    </w:r>
    <w:r w:rsidRPr="009668EC">
      <w:rPr>
        <w:b/>
      </w:rPr>
      <w:t>47</w:t>
    </w:r>
  </w:p>
  <w:p w14:paraId="33D9BA30" w14:textId="77777777" w:rsidR="00577FA5" w:rsidRPr="009668EC" w:rsidRDefault="00577FA5" w:rsidP="00CF303F">
    <w:pPr>
      <w:pStyle w:val="Footer"/>
      <w:jc w:val="right"/>
      <w:rPr>
        <w:b/>
      </w:rPr>
    </w:pPr>
    <w:r w:rsidRPr="009668EC">
      <w:rPr>
        <w:b/>
      </w:rPr>
      <w:t>Amendment #1</w:t>
    </w:r>
  </w:p>
  <w:p w14:paraId="42C89FC0" w14:textId="77777777" w:rsidR="00577FA5" w:rsidRDefault="00577FA5" w:rsidP="00CF303F">
    <w:pPr>
      <w:pStyle w:val="Footer"/>
      <w:tabs>
        <w:tab w:val="clear" w:pos="4680"/>
        <w:tab w:val="clear" w:pos="9360"/>
        <w:tab w:val="left" w:pos="403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E27F" w14:textId="77777777" w:rsidR="007710E0" w:rsidRDefault="007710E0" w:rsidP="00636D0B">
    <w:pPr>
      <w:pStyle w:val="Footer"/>
      <w:jc w:val="right"/>
    </w:pPr>
    <w:r>
      <w:t xml:space="preserve">Page </w:t>
    </w:r>
    <w:r w:rsidRPr="009668EC">
      <w:rPr>
        <w:b/>
      </w:rPr>
      <w:t>4</w:t>
    </w:r>
    <w:r>
      <w:t xml:space="preserve"> of </w:t>
    </w:r>
    <w:r w:rsidRPr="009668EC">
      <w:rPr>
        <w:b/>
      </w:rPr>
      <w:t>47</w:t>
    </w:r>
  </w:p>
  <w:p w14:paraId="0317D983" w14:textId="77777777" w:rsidR="007710E0" w:rsidRPr="009668EC" w:rsidRDefault="007710E0" w:rsidP="00636D0B">
    <w:pPr>
      <w:pStyle w:val="Footer"/>
      <w:jc w:val="right"/>
      <w:rPr>
        <w:b/>
      </w:rPr>
    </w:pPr>
    <w:r w:rsidRPr="009668EC">
      <w:rPr>
        <w:b/>
      </w:rPr>
      <w:t>Amendment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CC54" w14:textId="77777777" w:rsidR="00080FCB" w:rsidRDefault="00080FCB" w:rsidP="00FC432B">
      <w:pPr>
        <w:spacing w:after="0" w:line="240" w:lineRule="auto"/>
      </w:pPr>
      <w:r>
        <w:separator/>
      </w:r>
    </w:p>
  </w:footnote>
  <w:footnote w:type="continuationSeparator" w:id="0">
    <w:p w14:paraId="3FF9CC55" w14:textId="77777777" w:rsidR="00080FCB" w:rsidRDefault="00080FCB" w:rsidP="00FC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7666" w14:textId="77777777" w:rsidR="00CF303F" w:rsidRDefault="00CF303F" w:rsidP="00CF303F">
    <w:pPr>
      <w:pStyle w:val="Header"/>
      <w:jc w:val="center"/>
    </w:pPr>
    <w:r>
      <w:t>New York State Department of Taxation and Finance</w:t>
    </w:r>
  </w:p>
  <w:p w14:paraId="54F4E59E" w14:textId="77777777" w:rsidR="00CF303F" w:rsidRDefault="00CF303F" w:rsidP="00CF303F">
    <w:pPr>
      <w:pStyle w:val="Header"/>
      <w:jc w:val="center"/>
    </w:pPr>
    <w:r>
      <w:t>Request for Proposals (RFP) 17-100</w:t>
    </w:r>
  </w:p>
  <w:p w14:paraId="5219D1F0" w14:textId="77777777" w:rsidR="00CF303F" w:rsidRDefault="00CF303F" w:rsidP="00CF303F">
    <w:pPr>
      <w:pStyle w:val="Header"/>
      <w:jc w:val="center"/>
    </w:pPr>
    <w:r>
      <w:t>Financial Institution Data Match (FIDM) Services</w:t>
    </w:r>
  </w:p>
  <w:p w14:paraId="4397C179" w14:textId="77777777" w:rsidR="00CF303F" w:rsidRPr="00F93BA7" w:rsidRDefault="00CF303F" w:rsidP="00CF303F">
    <w:pPr>
      <w:pStyle w:val="Header"/>
      <w:jc w:val="center"/>
    </w:pPr>
    <w:r>
      <w:t>AMENDMENT #1</w:t>
    </w:r>
  </w:p>
  <w:p w14:paraId="5B73B6B5" w14:textId="77777777" w:rsidR="00CF303F" w:rsidRDefault="00CF3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3793" w14:textId="77777777" w:rsidR="004A6048" w:rsidRDefault="004A6048" w:rsidP="004A604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8F4E" w14:textId="77777777" w:rsidR="00F2717A" w:rsidRDefault="00F2717A" w:rsidP="00F2717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875E" w14:textId="77777777" w:rsidR="00F2717A" w:rsidRDefault="00F2717A" w:rsidP="00F2717A">
    <w:pPr>
      <w:pStyle w:val="Header"/>
      <w:jc w:val="center"/>
    </w:pPr>
    <w:r>
      <w:t>New York State Department of Taxation and Finance</w:t>
    </w:r>
  </w:p>
  <w:p w14:paraId="10BEFB4A" w14:textId="77777777" w:rsidR="00F2717A" w:rsidRDefault="00F2717A" w:rsidP="00F2717A">
    <w:pPr>
      <w:pStyle w:val="Header"/>
      <w:jc w:val="center"/>
    </w:pPr>
    <w:r>
      <w:t>Request for Proposals (RFP) 17-100</w:t>
    </w:r>
  </w:p>
  <w:p w14:paraId="09BB0D11" w14:textId="77777777" w:rsidR="00F2717A" w:rsidRDefault="00F2717A" w:rsidP="00F2717A">
    <w:pPr>
      <w:pStyle w:val="Header"/>
      <w:jc w:val="center"/>
    </w:pPr>
    <w:r>
      <w:t>Financial Institution Data Match (FIDM) Services</w:t>
    </w:r>
  </w:p>
  <w:p w14:paraId="67F10E14" w14:textId="77777777" w:rsidR="00F2717A" w:rsidRDefault="00F2717A" w:rsidP="00F2717A">
    <w:pPr>
      <w:pStyle w:val="Header"/>
      <w:jc w:val="center"/>
    </w:pPr>
    <w:r>
      <w:t>AMENDMENT #1</w:t>
    </w:r>
  </w:p>
  <w:p w14:paraId="25B60B5B" w14:textId="77777777" w:rsidR="00F2717A" w:rsidRDefault="00F2717A" w:rsidP="00F2717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9D36" w14:textId="77777777" w:rsidR="009668EC" w:rsidRDefault="009668EC" w:rsidP="009668EC">
    <w:pPr>
      <w:pStyle w:val="Header"/>
      <w:jc w:val="center"/>
    </w:pPr>
    <w:r>
      <w:t>New York State Department of Taxation and Finance</w:t>
    </w:r>
  </w:p>
  <w:p w14:paraId="68E3F31C" w14:textId="77777777" w:rsidR="009668EC" w:rsidRDefault="009668EC" w:rsidP="009668EC">
    <w:pPr>
      <w:pStyle w:val="Header"/>
      <w:jc w:val="center"/>
    </w:pPr>
    <w:r>
      <w:t>Request for Proposals (RFP) 17-100</w:t>
    </w:r>
  </w:p>
  <w:p w14:paraId="0BF278DA" w14:textId="2584D404" w:rsidR="009668EC" w:rsidRDefault="009668EC" w:rsidP="009668EC">
    <w:pPr>
      <w:pStyle w:val="Header"/>
      <w:jc w:val="center"/>
    </w:pPr>
    <w:r>
      <w:t>Financial Institution Data Match (FIDM) Services</w:t>
    </w:r>
  </w:p>
  <w:p w14:paraId="73C66934" w14:textId="2C30304F" w:rsidR="009668EC" w:rsidRPr="00F93BA7" w:rsidRDefault="009668EC" w:rsidP="009668EC">
    <w:pPr>
      <w:pStyle w:val="Header"/>
      <w:jc w:val="center"/>
    </w:pPr>
    <w:r>
      <w:t>AMENDMENT #1</w:t>
    </w:r>
  </w:p>
  <w:p w14:paraId="70130A73" w14:textId="77777777" w:rsidR="009668EC" w:rsidRDefault="009668EC" w:rsidP="004A60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30DB"/>
    <w:multiLevelType w:val="multilevel"/>
    <w:tmpl w:val="0D1AEB2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F44E10"/>
    <w:multiLevelType w:val="hybridMultilevel"/>
    <w:tmpl w:val="273A58F4"/>
    <w:lvl w:ilvl="0" w:tplc="0F2C8684">
      <w:start w:val="1"/>
      <w:numFmt w:val="bullet"/>
      <w:lvlText w:val=""/>
      <w:lvlJc w:val="left"/>
      <w:pPr>
        <w:tabs>
          <w:tab w:val="num" w:pos="1620"/>
        </w:tabs>
        <w:ind w:left="1620" w:hanging="360"/>
      </w:pPr>
      <w:rPr>
        <w:rFonts w:ascii="Symbol" w:hAnsi="Symbol" w:hint="default"/>
        <w:sz w:val="20"/>
      </w:rPr>
    </w:lvl>
    <w:lvl w:ilvl="1" w:tplc="D73219D4">
      <w:start w:val="1"/>
      <w:numFmt w:val="bullet"/>
      <w:lvlText w:val="o"/>
      <w:lvlJc w:val="left"/>
      <w:pPr>
        <w:tabs>
          <w:tab w:val="num" w:pos="2520"/>
        </w:tabs>
        <w:ind w:left="2520" w:hanging="360"/>
      </w:pPr>
      <w:rPr>
        <w:rFonts w:ascii="Courier New" w:hAnsi="Courier New" w:cs="Courier New" w:hint="default"/>
      </w:rPr>
    </w:lvl>
    <w:lvl w:ilvl="2" w:tplc="526C8D18">
      <w:start w:val="1"/>
      <w:numFmt w:val="bullet"/>
      <w:lvlText w:val=""/>
      <w:lvlJc w:val="left"/>
      <w:pPr>
        <w:tabs>
          <w:tab w:val="num" w:pos="3240"/>
        </w:tabs>
        <w:ind w:left="3240" w:hanging="360"/>
      </w:pPr>
      <w:rPr>
        <w:rFonts w:ascii="Wingdings" w:hAnsi="Wingdings" w:hint="default"/>
      </w:rPr>
    </w:lvl>
    <w:lvl w:ilvl="3" w:tplc="79784DEE">
      <w:start w:val="1"/>
      <w:numFmt w:val="bullet"/>
      <w:lvlText w:val=""/>
      <w:lvlJc w:val="left"/>
      <w:pPr>
        <w:tabs>
          <w:tab w:val="num" w:pos="3960"/>
        </w:tabs>
        <w:ind w:left="3960" w:hanging="360"/>
      </w:pPr>
      <w:rPr>
        <w:rFonts w:ascii="Symbol" w:hAnsi="Symbol" w:hint="default"/>
      </w:rPr>
    </w:lvl>
    <w:lvl w:ilvl="4" w:tplc="20A01866">
      <w:start w:val="1"/>
      <w:numFmt w:val="bullet"/>
      <w:lvlText w:val="o"/>
      <w:lvlJc w:val="left"/>
      <w:pPr>
        <w:tabs>
          <w:tab w:val="num" w:pos="4680"/>
        </w:tabs>
        <w:ind w:left="4680" w:hanging="360"/>
      </w:pPr>
      <w:rPr>
        <w:rFonts w:ascii="Courier New" w:hAnsi="Courier New" w:cs="Courier New" w:hint="default"/>
      </w:rPr>
    </w:lvl>
    <w:lvl w:ilvl="5" w:tplc="50ECE9E8" w:tentative="1">
      <w:start w:val="1"/>
      <w:numFmt w:val="bullet"/>
      <w:lvlText w:val=""/>
      <w:lvlJc w:val="left"/>
      <w:pPr>
        <w:tabs>
          <w:tab w:val="num" w:pos="5400"/>
        </w:tabs>
        <w:ind w:left="5400" w:hanging="360"/>
      </w:pPr>
      <w:rPr>
        <w:rFonts w:ascii="Wingdings" w:hAnsi="Wingdings" w:hint="default"/>
      </w:rPr>
    </w:lvl>
    <w:lvl w:ilvl="6" w:tplc="0EECF898" w:tentative="1">
      <w:start w:val="1"/>
      <w:numFmt w:val="bullet"/>
      <w:lvlText w:val=""/>
      <w:lvlJc w:val="left"/>
      <w:pPr>
        <w:tabs>
          <w:tab w:val="num" w:pos="6120"/>
        </w:tabs>
        <w:ind w:left="6120" w:hanging="360"/>
      </w:pPr>
      <w:rPr>
        <w:rFonts w:ascii="Symbol" w:hAnsi="Symbol" w:hint="default"/>
      </w:rPr>
    </w:lvl>
    <w:lvl w:ilvl="7" w:tplc="7988BA84" w:tentative="1">
      <w:start w:val="1"/>
      <w:numFmt w:val="bullet"/>
      <w:lvlText w:val="o"/>
      <w:lvlJc w:val="left"/>
      <w:pPr>
        <w:tabs>
          <w:tab w:val="num" w:pos="6840"/>
        </w:tabs>
        <w:ind w:left="6840" w:hanging="360"/>
      </w:pPr>
      <w:rPr>
        <w:rFonts w:ascii="Courier New" w:hAnsi="Courier New" w:cs="Courier New" w:hint="default"/>
      </w:rPr>
    </w:lvl>
    <w:lvl w:ilvl="8" w:tplc="D224444A"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C3114FA"/>
    <w:multiLevelType w:val="multilevel"/>
    <w:tmpl w:val="C158D2A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432"/>
        </w:tabs>
        <w:ind w:left="432" w:firstLine="288"/>
      </w:pPr>
      <w:rPr>
        <w:rFonts w:hint="default"/>
        <w:b/>
        <w:sz w:val="24"/>
        <w:szCs w:val="24"/>
      </w:rPr>
    </w:lvl>
    <w:lvl w:ilvl="2">
      <w:start w:val="1"/>
      <w:numFmt w:val="decimal"/>
      <w:lvlText w:val="%3"/>
      <w:lvlJc w:val="left"/>
      <w:pPr>
        <w:tabs>
          <w:tab w:val="num" w:pos="1152"/>
        </w:tabs>
        <w:ind w:left="1152" w:hanging="72"/>
      </w:pPr>
      <w:rPr>
        <w:rFonts w:ascii="Arial" w:hAnsi="Arial" w:cs="Arial" w:hint="default"/>
        <w:b/>
        <w:sz w:val="20"/>
        <w:szCs w:val="20"/>
      </w:rPr>
    </w:lvl>
    <w:lvl w:ilvl="3">
      <w:start w:val="1"/>
      <w:numFmt w:val="lowerLetter"/>
      <w:lvlRestart w:val="0"/>
      <w:lvlText w:val="%4"/>
      <w:lvlJc w:val="left"/>
      <w:pPr>
        <w:tabs>
          <w:tab w:val="num" w:pos="864"/>
        </w:tabs>
        <w:ind w:left="864" w:hanging="864"/>
      </w:pPr>
      <w:rPr>
        <w:rFonts w:hint="default"/>
        <w:b w:val="0"/>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47CCA"/>
    <w:multiLevelType w:val="hybridMultilevel"/>
    <w:tmpl w:val="D87CA7C8"/>
    <w:lvl w:ilvl="0" w:tplc="A134CBE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A49CE"/>
    <w:multiLevelType w:val="multilevel"/>
    <w:tmpl w:val="30906016"/>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3B115DE"/>
    <w:multiLevelType w:val="hybridMultilevel"/>
    <w:tmpl w:val="4B881B66"/>
    <w:lvl w:ilvl="0" w:tplc="BAAAAFDC">
      <w:start w:val="1"/>
      <w:numFmt w:val="bullet"/>
      <w:lvlText w:val=""/>
      <w:lvlJc w:val="left"/>
      <w:pPr>
        <w:tabs>
          <w:tab w:val="num" w:pos="1620"/>
        </w:tabs>
        <w:ind w:left="1620" w:hanging="360"/>
      </w:pPr>
      <w:rPr>
        <w:rFonts w:ascii="Symbol" w:hAnsi="Symbol" w:hint="default"/>
        <w:sz w:val="20"/>
      </w:rPr>
    </w:lvl>
    <w:lvl w:ilvl="1" w:tplc="F9C8F5FC">
      <w:start w:val="1"/>
      <w:numFmt w:val="bullet"/>
      <w:lvlText w:val="o"/>
      <w:lvlJc w:val="left"/>
      <w:pPr>
        <w:tabs>
          <w:tab w:val="num" w:pos="2520"/>
        </w:tabs>
        <w:ind w:left="2520" w:hanging="360"/>
      </w:pPr>
      <w:rPr>
        <w:rFonts w:ascii="Courier New" w:hAnsi="Courier New" w:cs="Courier New" w:hint="default"/>
      </w:rPr>
    </w:lvl>
    <w:lvl w:ilvl="2" w:tplc="835CDE66" w:tentative="1">
      <w:start w:val="1"/>
      <w:numFmt w:val="bullet"/>
      <w:lvlText w:val=""/>
      <w:lvlJc w:val="left"/>
      <w:pPr>
        <w:tabs>
          <w:tab w:val="num" w:pos="3240"/>
        </w:tabs>
        <w:ind w:left="3240" w:hanging="360"/>
      </w:pPr>
      <w:rPr>
        <w:rFonts w:ascii="Wingdings" w:hAnsi="Wingdings" w:hint="default"/>
      </w:rPr>
    </w:lvl>
    <w:lvl w:ilvl="3" w:tplc="AF909E08">
      <w:start w:val="1"/>
      <w:numFmt w:val="bullet"/>
      <w:lvlText w:val=""/>
      <w:lvlJc w:val="left"/>
      <w:pPr>
        <w:tabs>
          <w:tab w:val="num" w:pos="3960"/>
        </w:tabs>
        <w:ind w:left="3960" w:hanging="360"/>
      </w:pPr>
      <w:rPr>
        <w:rFonts w:ascii="Symbol" w:hAnsi="Symbol" w:hint="default"/>
      </w:rPr>
    </w:lvl>
    <w:lvl w:ilvl="4" w:tplc="460CCEA4">
      <w:start w:val="1"/>
      <w:numFmt w:val="bullet"/>
      <w:lvlText w:val="o"/>
      <w:lvlJc w:val="left"/>
      <w:pPr>
        <w:tabs>
          <w:tab w:val="num" w:pos="4680"/>
        </w:tabs>
        <w:ind w:left="4680" w:hanging="360"/>
      </w:pPr>
      <w:rPr>
        <w:rFonts w:ascii="Courier New" w:hAnsi="Courier New" w:cs="Courier New" w:hint="default"/>
      </w:rPr>
    </w:lvl>
    <w:lvl w:ilvl="5" w:tplc="F640A1A0" w:tentative="1">
      <w:start w:val="1"/>
      <w:numFmt w:val="bullet"/>
      <w:lvlText w:val=""/>
      <w:lvlJc w:val="left"/>
      <w:pPr>
        <w:tabs>
          <w:tab w:val="num" w:pos="5400"/>
        </w:tabs>
        <w:ind w:left="5400" w:hanging="360"/>
      </w:pPr>
      <w:rPr>
        <w:rFonts w:ascii="Wingdings" w:hAnsi="Wingdings" w:hint="default"/>
      </w:rPr>
    </w:lvl>
    <w:lvl w:ilvl="6" w:tplc="25E895FA" w:tentative="1">
      <w:start w:val="1"/>
      <w:numFmt w:val="bullet"/>
      <w:lvlText w:val=""/>
      <w:lvlJc w:val="left"/>
      <w:pPr>
        <w:tabs>
          <w:tab w:val="num" w:pos="6120"/>
        </w:tabs>
        <w:ind w:left="6120" w:hanging="360"/>
      </w:pPr>
      <w:rPr>
        <w:rFonts w:ascii="Symbol" w:hAnsi="Symbol" w:hint="default"/>
      </w:rPr>
    </w:lvl>
    <w:lvl w:ilvl="7" w:tplc="2A5C90B0" w:tentative="1">
      <w:start w:val="1"/>
      <w:numFmt w:val="bullet"/>
      <w:lvlText w:val="o"/>
      <w:lvlJc w:val="left"/>
      <w:pPr>
        <w:tabs>
          <w:tab w:val="num" w:pos="6840"/>
        </w:tabs>
        <w:ind w:left="6840" w:hanging="360"/>
      </w:pPr>
      <w:rPr>
        <w:rFonts w:ascii="Courier New" w:hAnsi="Courier New" w:cs="Courier New" w:hint="default"/>
      </w:rPr>
    </w:lvl>
    <w:lvl w:ilvl="8" w:tplc="147C3054"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B7"/>
    <w:rsid w:val="0000591B"/>
    <w:rsid w:val="00033E37"/>
    <w:rsid w:val="00037E24"/>
    <w:rsid w:val="00040D4C"/>
    <w:rsid w:val="00053830"/>
    <w:rsid w:val="000772D4"/>
    <w:rsid w:val="00080FCB"/>
    <w:rsid w:val="000A1073"/>
    <w:rsid w:val="000B509B"/>
    <w:rsid w:val="001075A8"/>
    <w:rsid w:val="001768AE"/>
    <w:rsid w:val="00177C4F"/>
    <w:rsid w:val="00177E29"/>
    <w:rsid w:val="00183E6E"/>
    <w:rsid w:val="001940BE"/>
    <w:rsid w:val="001A0EC0"/>
    <w:rsid w:val="001B7324"/>
    <w:rsid w:val="001C4E9C"/>
    <w:rsid w:val="001D097F"/>
    <w:rsid w:val="001E18D6"/>
    <w:rsid w:val="0026333E"/>
    <w:rsid w:val="00292C44"/>
    <w:rsid w:val="002D17DF"/>
    <w:rsid w:val="00325704"/>
    <w:rsid w:val="00326322"/>
    <w:rsid w:val="00352E1A"/>
    <w:rsid w:val="00365A7A"/>
    <w:rsid w:val="003952F4"/>
    <w:rsid w:val="003F7F68"/>
    <w:rsid w:val="00430066"/>
    <w:rsid w:val="00431D32"/>
    <w:rsid w:val="004355EA"/>
    <w:rsid w:val="00495F65"/>
    <w:rsid w:val="004A6048"/>
    <w:rsid w:val="004E21EB"/>
    <w:rsid w:val="00507181"/>
    <w:rsid w:val="00536F7C"/>
    <w:rsid w:val="00546CD7"/>
    <w:rsid w:val="00560CDD"/>
    <w:rsid w:val="00577FA5"/>
    <w:rsid w:val="005B4FE4"/>
    <w:rsid w:val="005D0E09"/>
    <w:rsid w:val="00636D0B"/>
    <w:rsid w:val="00655427"/>
    <w:rsid w:val="00660279"/>
    <w:rsid w:val="00680B6F"/>
    <w:rsid w:val="00703A51"/>
    <w:rsid w:val="0070734D"/>
    <w:rsid w:val="00740D41"/>
    <w:rsid w:val="00756A92"/>
    <w:rsid w:val="007642E1"/>
    <w:rsid w:val="007710E0"/>
    <w:rsid w:val="007926B7"/>
    <w:rsid w:val="00793D36"/>
    <w:rsid w:val="00795483"/>
    <w:rsid w:val="007B3760"/>
    <w:rsid w:val="007D1FD5"/>
    <w:rsid w:val="00817F53"/>
    <w:rsid w:val="0083636D"/>
    <w:rsid w:val="00872F56"/>
    <w:rsid w:val="00887D8E"/>
    <w:rsid w:val="008972A2"/>
    <w:rsid w:val="0090475E"/>
    <w:rsid w:val="00951656"/>
    <w:rsid w:val="00964915"/>
    <w:rsid w:val="009668EC"/>
    <w:rsid w:val="009725B5"/>
    <w:rsid w:val="00A01250"/>
    <w:rsid w:val="00A05EDA"/>
    <w:rsid w:val="00A45260"/>
    <w:rsid w:val="00A84FAA"/>
    <w:rsid w:val="00AA27FB"/>
    <w:rsid w:val="00AA2D29"/>
    <w:rsid w:val="00AB2BC0"/>
    <w:rsid w:val="00AE4C58"/>
    <w:rsid w:val="00AE5829"/>
    <w:rsid w:val="00B033C0"/>
    <w:rsid w:val="00B13013"/>
    <w:rsid w:val="00B40F59"/>
    <w:rsid w:val="00B80C48"/>
    <w:rsid w:val="00B82D15"/>
    <w:rsid w:val="00B91A50"/>
    <w:rsid w:val="00C05C48"/>
    <w:rsid w:val="00CB4D3D"/>
    <w:rsid w:val="00CF303F"/>
    <w:rsid w:val="00D077DC"/>
    <w:rsid w:val="00D13236"/>
    <w:rsid w:val="00D52671"/>
    <w:rsid w:val="00D81A12"/>
    <w:rsid w:val="00D86410"/>
    <w:rsid w:val="00DE54FE"/>
    <w:rsid w:val="00E57D51"/>
    <w:rsid w:val="00E6455E"/>
    <w:rsid w:val="00E865A3"/>
    <w:rsid w:val="00E91D2C"/>
    <w:rsid w:val="00F2717A"/>
    <w:rsid w:val="00F4150F"/>
    <w:rsid w:val="00F712B4"/>
    <w:rsid w:val="00F80AFB"/>
    <w:rsid w:val="00F91804"/>
    <w:rsid w:val="00F96206"/>
    <w:rsid w:val="00FC432B"/>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FF9CC41"/>
  <w15:docId w15:val="{874DD237-320E-445E-B3EC-02D8BDA4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636D0B"/>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CF30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aliases w:val="Alt 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636D0B"/>
    <w:rPr>
      <w:rFonts w:ascii="Cambria" w:eastAsia="Times New Roman" w:hAnsi="Cambria" w:cs="Times New Roman"/>
      <w:b/>
      <w:bCs/>
      <w:kern w:val="32"/>
      <w:sz w:val="32"/>
      <w:szCs w:val="32"/>
      <w:lang w:val="x-none" w:eastAsia="x-none"/>
    </w:rPr>
  </w:style>
  <w:style w:type="paragraph" w:customStyle="1" w:styleId="Default">
    <w:name w:val="Default"/>
    <w:rsid w:val="00A0125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CF303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303F"/>
    <w:pPr>
      <w:ind w:left="720"/>
      <w:contextualSpacing/>
    </w:pPr>
  </w:style>
  <w:style w:type="character" w:styleId="Mention">
    <w:name w:val="Mention"/>
    <w:basedOn w:val="DefaultParagraphFont"/>
    <w:uiPriority w:val="99"/>
    <w:semiHidden/>
    <w:unhideWhenUsed/>
    <w:rsid w:val="000A10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21779">
      <w:bodyDiv w:val="1"/>
      <w:marLeft w:val="0"/>
      <w:marRight w:val="0"/>
      <w:marTop w:val="0"/>
      <w:marBottom w:val="0"/>
      <w:divBdr>
        <w:top w:val="none" w:sz="0" w:space="0" w:color="auto"/>
        <w:left w:val="none" w:sz="0" w:space="0" w:color="auto"/>
        <w:bottom w:val="none" w:sz="0" w:space="0" w:color="auto"/>
        <w:right w:val="none" w:sz="0" w:space="0" w:color="auto"/>
      </w:divBdr>
    </w:div>
    <w:div w:id="1105224757">
      <w:bodyDiv w:val="1"/>
      <w:marLeft w:val="0"/>
      <w:marRight w:val="0"/>
      <w:marTop w:val="0"/>
      <w:marBottom w:val="0"/>
      <w:divBdr>
        <w:top w:val="none" w:sz="0" w:space="0" w:color="auto"/>
        <w:left w:val="none" w:sz="0" w:space="0" w:color="auto"/>
        <w:bottom w:val="none" w:sz="0" w:space="0" w:color="auto"/>
        <w:right w:val="none" w:sz="0" w:space="0" w:color="auto"/>
      </w:divBdr>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ax.ny.gov/help/contact/foil_request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ax.ny.gov/help/contact/foil_requests.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its.ny.gov/eiso/policies/securit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its.ny.gov/eiso/policies/securit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ax.ny.gov/help/contact/foil_reques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4FE5-0C2F-4123-89A9-8FCE851FFEB6}">
  <ds:schemaRefs>
    <ds:schemaRef ds:uri="http://purl.org/dc/terms/"/>
    <ds:schemaRef ds:uri="http://purl.org/dc/dcmitype/"/>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E008F-0EB5-48BB-BC98-29E74D10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DEFC9191</Template>
  <TotalTime>96</TotalTime>
  <Pages>8</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Jennifer</dc:creator>
  <cp:lastModifiedBy>Jones, Earl M (TAX)</cp:lastModifiedBy>
  <cp:revision>27</cp:revision>
  <cp:lastPrinted>2017-12-07T18:04:00Z</cp:lastPrinted>
  <dcterms:created xsi:type="dcterms:W3CDTF">2017-11-30T14:18:00Z</dcterms:created>
  <dcterms:modified xsi:type="dcterms:W3CDTF">2017-12-07T21:48:00Z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