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FAC4" w14:textId="77777777" w:rsidR="00835FD8" w:rsidRDefault="00114003" w:rsidP="00715BF1">
      <w:pPr>
        <w:jc w:val="center"/>
      </w:pPr>
      <w:bookmarkStart w:id="0" w:name="_GoBack"/>
      <w:bookmarkEnd w:id="0"/>
      <w:r>
        <w:rPr>
          <w:noProof/>
        </w:rPr>
        <w:drawing>
          <wp:inline distT="0" distB="0" distL="0" distR="0" wp14:anchorId="0CBB1234" wp14:editId="7FB60BF6">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1445F9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46C42AEF">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rect w14:anchorId="79D748E2"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3D52265E" w14:textId="77777777" w:rsidR="009F4705" w:rsidRPr="009F4705" w:rsidRDefault="00526FE5" w:rsidP="00766AB4">
      <w:pPr>
        <w:jc w:val="center"/>
        <w:rPr>
          <w:rFonts w:ascii="Arial" w:hAnsi="Arial" w:cs="Arial"/>
          <w:b/>
          <w:color w:val="FFFFFF" w:themeColor="background1"/>
          <w:sz w:val="72"/>
          <w:szCs w:val="72"/>
        </w:rPr>
      </w:pPr>
      <w:r>
        <w:rPr>
          <w:rFonts w:ascii="Arial" w:hAnsi="Arial" w:cs="Arial"/>
          <w:b/>
          <w:color w:val="FFFFFF" w:themeColor="background1"/>
          <w:sz w:val="72"/>
          <w:szCs w:val="72"/>
        </w:rPr>
        <w:t>RFP 17-100</w:t>
      </w:r>
    </w:p>
    <w:p w14:paraId="1396B2E7" w14:textId="77777777" w:rsidR="009F4705" w:rsidRDefault="00526FE5" w:rsidP="009F4705">
      <w:pPr>
        <w:jc w:val="center"/>
        <w:rPr>
          <w:rFonts w:ascii="Arial" w:hAnsi="Arial" w:cs="Arial"/>
          <w:b/>
          <w:color w:val="FFFFFF" w:themeColor="background1"/>
          <w:sz w:val="48"/>
          <w:szCs w:val="72"/>
        </w:rPr>
      </w:pPr>
      <w:r w:rsidRPr="00526FE5">
        <w:rPr>
          <w:rFonts w:ascii="Arial" w:hAnsi="Arial" w:cs="Arial"/>
          <w:b/>
          <w:color w:val="FFFFFF" w:themeColor="background1"/>
          <w:sz w:val="48"/>
          <w:szCs w:val="72"/>
        </w:rPr>
        <w:t>Financial Institution Data Match Services</w:t>
      </w:r>
    </w:p>
    <w:p w14:paraId="1759F7BA" w14:textId="77777777" w:rsidR="00526FE5" w:rsidRPr="00526FE5" w:rsidRDefault="00526FE5" w:rsidP="009F4705">
      <w:pPr>
        <w:jc w:val="center"/>
        <w:rPr>
          <w:rFonts w:ascii="Arial" w:hAnsi="Arial" w:cs="Arial"/>
          <w:b/>
          <w:color w:val="FFFFFF" w:themeColor="background1"/>
          <w:sz w:val="48"/>
          <w:szCs w:val="72"/>
        </w:rPr>
      </w:pPr>
    </w:p>
    <w:p w14:paraId="65F9B2A3" w14:textId="04564A4F"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1"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Default="00251AE8" w:rsidP="00251AE8">
          <w:pPr>
            <w:pStyle w:val="TOCHeading"/>
            <w:jc w:val="center"/>
            <w:rPr>
              <w:rFonts w:asciiTheme="minorHAnsi" w:hAnsiTheme="minorHAnsi"/>
              <w:b/>
              <w:color w:val="auto"/>
            </w:rPr>
          </w:pPr>
          <w:r w:rsidRPr="00251AE8">
            <w:rPr>
              <w:rFonts w:asciiTheme="minorHAnsi" w:hAnsiTheme="minorHAnsi"/>
              <w:b/>
              <w:color w:val="auto"/>
            </w:rPr>
            <w:t>Table of Contents</w:t>
          </w:r>
        </w:p>
        <w:p w14:paraId="0A65DE76" w14:textId="77777777" w:rsidR="00251AE8" w:rsidRPr="00251AE8" w:rsidRDefault="00251AE8" w:rsidP="00251AE8"/>
        <w:p w14:paraId="0EE604FF" w14:textId="3374E9C5" w:rsidR="00487A3D" w:rsidRDefault="00251AE8">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97143520" w:history="1">
            <w:r w:rsidR="00487A3D" w:rsidRPr="00487A3D">
              <w:rPr>
                <w:rStyle w:val="Hyperlink"/>
                <w:rFonts w:ascii="Arial" w:hAnsi="Arial" w:cs="Arial"/>
                <w:noProof/>
              </w:rPr>
              <w:t>Appendix A - Standard Clauses For NYS Contracts</w:t>
            </w:r>
            <w:r w:rsidR="00487A3D">
              <w:rPr>
                <w:noProof/>
                <w:webHidden/>
              </w:rPr>
              <w:tab/>
            </w:r>
            <w:r w:rsidR="00487A3D">
              <w:rPr>
                <w:noProof/>
                <w:webHidden/>
              </w:rPr>
              <w:fldChar w:fldCharType="begin"/>
            </w:r>
            <w:r w:rsidR="00487A3D">
              <w:rPr>
                <w:noProof/>
                <w:webHidden/>
              </w:rPr>
              <w:instrText xml:space="preserve"> PAGEREF _Toc497143520 \h </w:instrText>
            </w:r>
            <w:r w:rsidR="00487A3D">
              <w:rPr>
                <w:noProof/>
                <w:webHidden/>
              </w:rPr>
            </w:r>
            <w:r w:rsidR="00487A3D">
              <w:rPr>
                <w:noProof/>
                <w:webHidden/>
              </w:rPr>
              <w:fldChar w:fldCharType="separate"/>
            </w:r>
            <w:r w:rsidR="00487A3D">
              <w:rPr>
                <w:noProof/>
                <w:webHidden/>
              </w:rPr>
              <w:t>3</w:t>
            </w:r>
            <w:r w:rsidR="00487A3D">
              <w:rPr>
                <w:noProof/>
                <w:webHidden/>
              </w:rPr>
              <w:fldChar w:fldCharType="end"/>
            </w:r>
          </w:hyperlink>
        </w:p>
        <w:p w14:paraId="295A6562" w14:textId="4C18BA22" w:rsidR="00487A3D" w:rsidRDefault="00E7418D">
          <w:pPr>
            <w:pStyle w:val="TOC1"/>
            <w:rPr>
              <w:rFonts w:asciiTheme="minorHAnsi" w:eastAsiaTheme="minorEastAsia" w:hAnsiTheme="minorHAnsi" w:cstheme="minorBidi"/>
              <w:noProof/>
            </w:rPr>
          </w:pPr>
          <w:hyperlink w:anchor="_Toc497143521" w:history="1">
            <w:r w:rsidR="00487A3D" w:rsidRPr="002528BB">
              <w:rPr>
                <w:rStyle w:val="Hyperlink"/>
                <w:rFonts w:ascii="Arial" w:hAnsi="Arial" w:cs="Arial"/>
                <w:noProof/>
              </w:rPr>
              <w:t>Appendix B – Bid Protest Policy</w:t>
            </w:r>
            <w:r w:rsidR="00487A3D">
              <w:rPr>
                <w:noProof/>
                <w:webHidden/>
              </w:rPr>
              <w:tab/>
            </w:r>
            <w:r w:rsidR="00487A3D">
              <w:rPr>
                <w:noProof/>
                <w:webHidden/>
              </w:rPr>
              <w:fldChar w:fldCharType="begin"/>
            </w:r>
            <w:r w:rsidR="00487A3D">
              <w:rPr>
                <w:noProof/>
                <w:webHidden/>
              </w:rPr>
              <w:instrText xml:space="preserve"> PAGEREF _Toc497143521 \h </w:instrText>
            </w:r>
            <w:r w:rsidR="00487A3D">
              <w:rPr>
                <w:noProof/>
                <w:webHidden/>
              </w:rPr>
            </w:r>
            <w:r w:rsidR="00487A3D">
              <w:rPr>
                <w:noProof/>
                <w:webHidden/>
              </w:rPr>
              <w:fldChar w:fldCharType="separate"/>
            </w:r>
            <w:r w:rsidR="00487A3D">
              <w:rPr>
                <w:noProof/>
                <w:webHidden/>
              </w:rPr>
              <w:t>11</w:t>
            </w:r>
            <w:r w:rsidR="00487A3D">
              <w:rPr>
                <w:noProof/>
                <w:webHidden/>
              </w:rPr>
              <w:fldChar w:fldCharType="end"/>
            </w:r>
          </w:hyperlink>
        </w:p>
        <w:p w14:paraId="0BF023AA" w14:textId="695C5090" w:rsidR="00487A3D" w:rsidRDefault="00E7418D">
          <w:pPr>
            <w:pStyle w:val="TOC1"/>
            <w:rPr>
              <w:rFonts w:asciiTheme="minorHAnsi" w:eastAsiaTheme="minorEastAsia" w:hAnsiTheme="minorHAnsi" w:cstheme="minorBidi"/>
              <w:noProof/>
            </w:rPr>
          </w:pPr>
          <w:hyperlink w:anchor="_Toc497143522" w:history="1">
            <w:r w:rsidR="00487A3D" w:rsidRPr="002528BB">
              <w:rPr>
                <w:rStyle w:val="Hyperlink"/>
                <w:rFonts w:ascii="Arial" w:hAnsi="Arial" w:cs="Arial"/>
                <w:noProof/>
              </w:rPr>
              <w:t>Appendix C – RFP Glossary</w:t>
            </w:r>
            <w:r w:rsidR="00487A3D">
              <w:rPr>
                <w:noProof/>
                <w:webHidden/>
              </w:rPr>
              <w:tab/>
            </w:r>
            <w:r w:rsidR="00487A3D">
              <w:rPr>
                <w:noProof/>
                <w:webHidden/>
              </w:rPr>
              <w:fldChar w:fldCharType="begin"/>
            </w:r>
            <w:r w:rsidR="00487A3D">
              <w:rPr>
                <w:noProof/>
                <w:webHidden/>
              </w:rPr>
              <w:instrText xml:space="preserve"> PAGEREF _Toc497143522 \h </w:instrText>
            </w:r>
            <w:r w:rsidR="00487A3D">
              <w:rPr>
                <w:noProof/>
                <w:webHidden/>
              </w:rPr>
            </w:r>
            <w:r w:rsidR="00487A3D">
              <w:rPr>
                <w:noProof/>
                <w:webHidden/>
              </w:rPr>
              <w:fldChar w:fldCharType="separate"/>
            </w:r>
            <w:r w:rsidR="00487A3D">
              <w:rPr>
                <w:noProof/>
                <w:webHidden/>
              </w:rPr>
              <w:t>14</w:t>
            </w:r>
            <w:r w:rsidR="00487A3D">
              <w:rPr>
                <w:noProof/>
                <w:webHidden/>
              </w:rPr>
              <w:fldChar w:fldCharType="end"/>
            </w:r>
          </w:hyperlink>
        </w:p>
        <w:p w14:paraId="45F30A70" w14:textId="371DD7A1" w:rsidR="00251AE8" w:rsidRDefault="00251AE8">
          <w:r>
            <w:rPr>
              <w:b/>
              <w:bCs/>
              <w:noProof/>
            </w:rPr>
            <w:fldChar w:fldCharType="end"/>
          </w:r>
        </w:p>
      </w:sdtContent>
    </w:sdt>
    <w:p w14:paraId="17E456E3" w14:textId="77777777" w:rsidR="00251AE8" w:rsidRDefault="00251AE8" w:rsidP="00731BFD">
      <w:pPr>
        <w:keepNext/>
        <w:spacing w:before="240" w:after="60"/>
        <w:jc w:val="center"/>
        <w:outlineLvl w:val="0"/>
        <w:rPr>
          <w:rFonts w:ascii="Arial" w:eastAsia="Times New Roman" w:hAnsi="Arial" w:cs="Arial"/>
          <w:b/>
          <w:bCs/>
          <w:kern w:val="32"/>
          <w:sz w:val="28"/>
          <w:szCs w:val="28"/>
          <w:lang w:val="x-none" w:eastAsia="x-none"/>
        </w:rPr>
      </w:pPr>
    </w:p>
    <w:p w14:paraId="2DE60108" w14:textId="7616B01C" w:rsidR="00251AE8" w:rsidRDefault="00251AE8">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bookmarkEnd w:id="1"/>
    <w:p w14:paraId="5DBF9622" w14:textId="77777777" w:rsidR="00075F88" w:rsidRDefault="00075F88" w:rsidP="007A54E0">
      <w:pPr>
        <w:rPr>
          <w:sz w:val="20"/>
          <w:szCs w:val="20"/>
        </w:rPr>
        <w:sectPr w:rsidR="00075F88" w:rsidSect="001C0547">
          <w:footerReference w:type="default" r:id="rId13"/>
          <w:pgSz w:w="12240" w:h="15840" w:code="1"/>
          <w:pgMar w:top="1440" w:right="1440" w:bottom="1440" w:left="1440" w:header="720" w:footer="720" w:gutter="0"/>
          <w:cols w:space="720"/>
          <w:docGrid w:linePitch="360"/>
        </w:sectPr>
      </w:pPr>
    </w:p>
    <w:p w14:paraId="19EF754A" w14:textId="77777777" w:rsidR="00075F88" w:rsidRPr="005F4DCE" w:rsidRDefault="00075F88" w:rsidP="00075F88">
      <w:pPr>
        <w:pStyle w:val="Heading1"/>
        <w:jc w:val="center"/>
        <w:rPr>
          <w:rFonts w:ascii="Calibri" w:hAnsi="Calibri" w:cs="Calibri"/>
          <w:noProof/>
          <w:sz w:val="28"/>
          <w:szCs w:val="28"/>
        </w:rPr>
      </w:pPr>
      <w:bookmarkStart w:id="2" w:name="_Toc489624574"/>
      <w:bookmarkStart w:id="3" w:name="_Toc497143520"/>
      <w:r w:rsidRPr="005F4DCE">
        <w:rPr>
          <w:rFonts w:ascii="Calibri" w:hAnsi="Calibri" w:cs="Calibri"/>
          <w:noProof/>
          <w:sz w:val="28"/>
          <w:szCs w:val="28"/>
        </w:rPr>
        <w:lastRenderedPageBreak/>
        <w:t>Appendix A - Standard Clauses For NYS Contracts</w:t>
      </w:r>
      <w:bookmarkEnd w:id="2"/>
      <w:bookmarkEnd w:id="3"/>
    </w:p>
    <w:p w14:paraId="127350AE" w14:textId="77777777" w:rsidR="00075F88" w:rsidRPr="005F4DCE" w:rsidRDefault="00075F88" w:rsidP="00075F88">
      <w:pPr>
        <w:tabs>
          <w:tab w:val="left" w:pos="720"/>
          <w:tab w:val="left" w:pos="1620"/>
        </w:tabs>
        <w:jc w:val="both"/>
        <w:rPr>
          <w:rFonts w:cs="Calibri"/>
          <w:noProof/>
          <w:color w:val="000000"/>
        </w:rPr>
      </w:pPr>
      <w:r w:rsidRPr="005F4DCE">
        <w:rPr>
          <w:rFonts w:cs="Calibri"/>
          <w:noProof/>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EAF0E9"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 </w:t>
      </w:r>
      <w:r w:rsidRPr="005F4DCE">
        <w:rPr>
          <w:rFonts w:cs="Calibri"/>
          <w:b/>
          <w:noProof/>
          <w:color w:val="000000"/>
          <w:u w:val="single"/>
        </w:rPr>
        <w:t>EXECUTORY CLAUSE</w:t>
      </w:r>
      <w:r w:rsidRPr="005F4DCE">
        <w:rPr>
          <w:rFonts w:cs="Calibri"/>
          <w:b/>
          <w:noProof/>
          <w:color w:val="000000"/>
        </w:rPr>
        <w:t>.</w:t>
      </w:r>
      <w:r w:rsidRPr="005F4DCE">
        <w:rPr>
          <w:rFonts w:cs="Calibri"/>
          <w:noProof/>
          <w:color w:val="000000"/>
        </w:rPr>
        <w:t xml:space="preserve">  In accordance with Section 41 of the State Finance Law, the State shall have no liability under this contract to the Contractor or to anyone else beyond funds appro</w:t>
      </w:r>
      <w:r w:rsidRPr="005F4DCE">
        <w:rPr>
          <w:rFonts w:cs="Calibri"/>
          <w:noProof/>
          <w:color w:val="000000"/>
        </w:rPr>
        <w:softHyphen/>
        <w:t>priated and available for this contract.</w:t>
      </w:r>
    </w:p>
    <w:p w14:paraId="0C290259" w14:textId="77777777" w:rsidR="00075F88" w:rsidRPr="005F4DCE" w:rsidRDefault="00075F88" w:rsidP="00075F88">
      <w:pPr>
        <w:tabs>
          <w:tab w:val="left" w:pos="720"/>
        </w:tabs>
        <w:jc w:val="both"/>
        <w:rPr>
          <w:rFonts w:cs="Calibri"/>
          <w:color w:val="000000"/>
          <w:u w:val="single"/>
        </w:rPr>
      </w:pPr>
      <w:r w:rsidRPr="005F4DCE">
        <w:rPr>
          <w:rFonts w:cs="Calibri"/>
          <w:b/>
          <w:noProof/>
          <w:color w:val="000000"/>
          <w:lang w:val="fr-FR"/>
        </w:rPr>
        <w:t xml:space="preserve">2. </w:t>
      </w:r>
      <w:r w:rsidRPr="005F4DCE">
        <w:rPr>
          <w:rFonts w:cs="Calibri"/>
          <w:b/>
          <w:noProof/>
          <w:color w:val="000000"/>
          <w:u w:val="single"/>
          <w:lang w:val="fr-FR"/>
        </w:rPr>
        <w:t>NON-ASSIGNMENT CLAUSE</w:t>
      </w:r>
      <w:r w:rsidRPr="005F4DCE">
        <w:rPr>
          <w:rFonts w:cs="Calibri"/>
          <w:b/>
          <w:noProof/>
          <w:color w:val="000000"/>
          <w:lang w:val="fr-FR"/>
        </w:rPr>
        <w:t>.</w:t>
      </w:r>
      <w:r w:rsidRPr="005F4DCE">
        <w:rPr>
          <w:rFonts w:cs="Calibri"/>
          <w:noProof/>
          <w:color w:val="000000"/>
          <w:lang w:val="fr-FR"/>
        </w:rPr>
        <w:t xml:space="preserve">  </w:t>
      </w:r>
      <w:r w:rsidRPr="005F4DCE">
        <w:rPr>
          <w:rFonts w:cs="Calibri"/>
          <w:color w:val="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C4BD2CC"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3. </w:t>
      </w:r>
      <w:r w:rsidRPr="005F4DCE">
        <w:rPr>
          <w:rFonts w:cs="Calibri"/>
          <w:b/>
          <w:noProof/>
          <w:color w:val="000000"/>
          <w:u w:val="single"/>
        </w:rPr>
        <w:t>COMPTROLLER'S APPROVAL</w:t>
      </w:r>
      <w:r w:rsidRPr="005F4DCE">
        <w:rPr>
          <w:rFonts w:cs="Calibri"/>
          <w:b/>
          <w:noProof/>
          <w:color w:val="000000"/>
        </w:rPr>
        <w:t>.</w:t>
      </w:r>
      <w:r w:rsidRPr="005F4DCE">
        <w:rPr>
          <w:rFonts w:cs="Calibri"/>
          <w:noProof/>
          <w:color w:val="00000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3E2940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4. </w:t>
      </w:r>
      <w:r w:rsidRPr="005F4DCE">
        <w:rPr>
          <w:rFonts w:cs="Calibri"/>
          <w:b/>
          <w:noProof/>
          <w:color w:val="000000"/>
          <w:u w:val="single"/>
        </w:rPr>
        <w:t>WORKERS' COMPENSATION BENEFITS</w:t>
      </w:r>
      <w:r w:rsidRPr="005F4DCE">
        <w:rPr>
          <w:rFonts w:cs="Calibri"/>
          <w:b/>
          <w:noProof/>
          <w:color w:val="000000"/>
        </w:rPr>
        <w:t>.</w:t>
      </w:r>
      <w:r w:rsidRPr="005F4DCE">
        <w:rPr>
          <w:rFonts w:cs="Calibri"/>
          <w:noProof/>
          <w:color w:val="00000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654D789" w14:textId="77777777" w:rsidR="00075F88" w:rsidRPr="005F4DCE" w:rsidRDefault="00075F88" w:rsidP="00075F88">
      <w:pPr>
        <w:tabs>
          <w:tab w:val="left" w:pos="720"/>
        </w:tabs>
        <w:autoSpaceDE w:val="0"/>
        <w:autoSpaceDN w:val="0"/>
        <w:adjustRightInd w:val="0"/>
        <w:jc w:val="both"/>
        <w:rPr>
          <w:rFonts w:cs="Calibri"/>
          <w:noProof/>
          <w:color w:val="000000"/>
        </w:rPr>
      </w:pPr>
      <w:r w:rsidRPr="005F4DCE">
        <w:rPr>
          <w:rFonts w:cs="Calibri"/>
          <w:b/>
          <w:bCs/>
          <w:color w:val="000000"/>
        </w:rPr>
        <w:t xml:space="preserve">5. </w:t>
      </w:r>
      <w:r w:rsidRPr="005F4DCE">
        <w:rPr>
          <w:rFonts w:cs="Calibri"/>
          <w:b/>
          <w:bCs/>
          <w:color w:val="000000"/>
          <w:u w:val="single"/>
        </w:rPr>
        <w:t>NON-DISCRIMINATION REQUIREMENTS</w:t>
      </w:r>
      <w:r w:rsidRPr="005F4DCE">
        <w:rPr>
          <w:rFonts w:cs="Calibri"/>
          <w:b/>
          <w:bCs/>
          <w:color w:val="000000"/>
        </w:rPr>
        <w:t>.</w:t>
      </w:r>
      <w:r w:rsidRPr="005F4DCE">
        <w:rPr>
          <w:rFonts w:cs="Calibri"/>
          <w:color w:val="00000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w:t>
      </w:r>
      <w:r w:rsidRPr="005F4DCE">
        <w:rPr>
          <w:rFonts w:cs="Calibri"/>
          <w:color w:val="000000"/>
        </w:rPr>
        <w:lastRenderedPageBreak/>
        <w:t>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w:t>
      </w:r>
      <w:proofErr w:type="gramStart"/>
      <w:r w:rsidRPr="005F4DCE">
        <w:rPr>
          <w:rFonts w:cs="Calibri"/>
          <w:color w:val="000000"/>
        </w:rPr>
        <w:t>:  (</w:t>
      </w:r>
      <w:proofErr w:type="gramEnd"/>
      <w:r w:rsidRPr="005F4DCE">
        <w:rPr>
          <w:rFonts w:cs="Calibri"/>
          <w:color w:val="000000"/>
        </w:rPr>
        <w:t>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FDD6F32" w14:textId="77777777" w:rsidR="00075F88" w:rsidRPr="005F4DCE" w:rsidRDefault="00075F88" w:rsidP="00075F88">
      <w:pPr>
        <w:tabs>
          <w:tab w:val="left" w:pos="720"/>
        </w:tabs>
        <w:jc w:val="both"/>
        <w:rPr>
          <w:rFonts w:cs="Calibri"/>
          <w:color w:val="000000"/>
        </w:rPr>
      </w:pPr>
      <w:r w:rsidRPr="005F4DCE">
        <w:rPr>
          <w:rFonts w:cs="Calibri"/>
          <w:b/>
          <w:noProof/>
          <w:color w:val="000000"/>
        </w:rPr>
        <w:t xml:space="preserve">6. </w:t>
      </w:r>
      <w:r w:rsidRPr="005F4DCE">
        <w:rPr>
          <w:rFonts w:cs="Calibri"/>
          <w:b/>
          <w:noProof/>
          <w:color w:val="000000"/>
          <w:u w:val="single"/>
        </w:rPr>
        <w:t>WAGE AND HOURS PROVISIONS</w:t>
      </w:r>
      <w:r w:rsidRPr="005F4DCE">
        <w:rPr>
          <w:rFonts w:cs="Calibri"/>
          <w:b/>
          <w:noProof/>
          <w:color w:val="000000"/>
        </w:rPr>
        <w:t>.</w:t>
      </w:r>
      <w:r w:rsidRPr="005F4DCE">
        <w:rPr>
          <w:rFonts w:cs="Calibri"/>
          <w:noProof/>
          <w:color w:val="00000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5F4DCE">
        <w:rPr>
          <w:rFonts w:cs="Calibri"/>
          <w:noProof/>
          <w:color w:val="000000"/>
        </w:rPr>
        <w:softHyphen/>
        <w:t xml:space="preserve">ing wage rate and pay or provide the prevailing supplements, including the premium rates for overtime pay, as determined by the State Labor Department in accordance with the Labor Law.  </w:t>
      </w:r>
      <w:r w:rsidRPr="005F4DCE">
        <w:rPr>
          <w:rFonts w:cs="Calibri"/>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CFFB57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7. </w:t>
      </w:r>
      <w:r w:rsidRPr="005F4DCE">
        <w:rPr>
          <w:rFonts w:cs="Calibri"/>
          <w:b/>
          <w:noProof/>
          <w:color w:val="000000"/>
          <w:u w:val="single"/>
        </w:rPr>
        <w:t>NON-COLLUSIVE BIDDING CERTIFICATION</w:t>
      </w:r>
      <w:r w:rsidRPr="005F4DCE">
        <w:rPr>
          <w:rFonts w:cs="Calibri"/>
          <w:b/>
          <w:noProof/>
          <w:color w:val="000000"/>
        </w:rPr>
        <w:t>.</w:t>
      </w:r>
      <w:r w:rsidRPr="005F4DCE">
        <w:rPr>
          <w:rFonts w:cs="Calibri"/>
          <w:noProof/>
          <w:color w:val="000000"/>
        </w:rPr>
        <w:t xml:space="preserve">  In accordance with Section 139-d of the State Finance Law, if this contract was awarded based upon the submission of bids, Contractor affirms, under penalty of perjury, that its bid was arrived at indepen</w:t>
      </w:r>
      <w:r w:rsidRPr="005F4DCE">
        <w:rPr>
          <w:rFonts w:cs="Calibri"/>
          <w:noProof/>
          <w:color w:val="00000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8E284ED"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8. </w:t>
      </w:r>
      <w:r w:rsidRPr="005F4DCE">
        <w:rPr>
          <w:rFonts w:cs="Calibri"/>
          <w:b/>
          <w:noProof/>
          <w:color w:val="000000"/>
          <w:u w:val="single"/>
        </w:rPr>
        <w:t>INTERNATIONAL BOYCOTT PROHIBITION</w:t>
      </w:r>
      <w:r w:rsidRPr="005F4DCE">
        <w:rPr>
          <w:rFonts w:cs="Calibri"/>
          <w:noProof/>
          <w:color w:val="00000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5F4DCE">
        <w:rPr>
          <w:rFonts w:cs="Calibri"/>
          <w:noProof/>
          <w:color w:val="000000"/>
        </w:rPr>
        <w:softHyphen/>
        <w:t>ting, or shall participate in an international boycott in viola</w:t>
      </w:r>
      <w:r w:rsidRPr="005F4DCE">
        <w:rPr>
          <w:rFonts w:cs="Calibri"/>
          <w:noProof/>
          <w:color w:val="000000"/>
        </w:rPr>
        <w:softHyphen/>
        <w:t xml:space="preserve">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r w:rsidRPr="005F4DCE">
        <w:rPr>
          <w:rFonts w:cs="Calibri"/>
          <w:noProof/>
          <w:color w:val="000000"/>
        </w:rPr>
        <w:lastRenderedPageBreak/>
        <w:t>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5512765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9. </w:t>
      </w:r>
      <w:r w:rsidRPr="005F4DCE">
        <w:rPr>
          <w:rFonts w:cs="Calibri"/>
          <w:b/>
          <w:noProof/>
          <w:color w:val="000000"/>
          <w:u w:val="single"/>
        </w:rPr>
        <w:t>SET-OFF RIGHTS</w:t>
      </w:r>
      <w:r w:rsidRPr="005F4DCE">
        <w:rPr>
          <w:rFonts w:cs="Calibri"/>
          <w:b/>
          <w:noProof/>
          <w:color w:val="000000"/>
        </w:rPr>
        <w:t>.</w:t>
      </w:r>
      <w:r w:rsidRPr="005F4DCE">
        <w:rPr>
          <w:rFonts w:cs="Calibri"/>
          <w:noProof/>
          <w:color w:val="00000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5F4DCE">
        <w:rPr>
          <w:rFonts w:cs="Calibri"/>
          <w:noProof/>
          <w:color w:val="00000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053370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10.  </w:t>
      </w:r>
      <w:r w:rsidRPr="005F4DCE">
        <w:rPr>
          <w:rFonts w:cs="Calibri"/>
          <w:b/>
          <w:noProof/>
          <w:color w:val="000000"/>
          <w:u w:val="single"/>
        </w:rPr>
        <w:t>RECORDS</w:t>
      </w:r>
      <w:r w:rsidRPr="005F4DCE">
        <w:rPr>
          <w:rFonts w:cs="Calibri"/>
          <w:b/>
          <w:noProof/>
          <w:color w:val="000000"/>
        </w:rPr>
        <w:t>.</w:t>
      </w:r>
      <w:r w:rsidRPr="005F4DCE">
        <w:rPr>
          <w:rFonts w:cs="Calibri"/>
          <w:noProof/>
          <w:color w:val="00000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5F4DCE">
        <w:rPr>
          <w:rFonts w:cs="Calibri"/>
          <w:noProof/>
          <w:color w:val="000000"/>
        </w:rPr>
        <w:softHyphen/>
        <w:t>tion, auditing and copying.  The State shall take reasonable steps to protect from public disclosure any of the Records which are exempt from disclosure under Section 87 of the Public Offi</w:t>
      </w:r>
      <w:r w:rsidRPr="005F4DCE">
        <w:rPr>
          <w:rFonts w:cs="Calibri"/>
          <w:noProof/>
          <w:color w:val="00000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372192C" w14:textId="77777777" w:rsidR="00075F88" w:rsidRPr="005F4DCE" w:rsidRDefault="00075F88" w:rsidP="00547A70">
      <w:pPr>
        <w:pStyle w:val="PlainText"/>
        <w:spacing w:line="276" w:lineRule="auto"/>
        <w:jc w:val="both"/>
        <w:rPr>
          <w:rFonts w:ascii="Calibri" w:hAnsi="Calibri" w:cs="Calibri"/>
          <w:sz w:val="22"/>
          <w:szCs w:val="22"/>
        </w:rPr>
      </w:pPr>
      <w:r w:rsidRPr="005F4DCE">
        <w:rPr>
          <w:rFonts w:ascii="Calibri" w:hAnsi="Calibri" w:cs="Calibri"/>
          <w:b/>
          <w:sz w:val="22"/>
          <w:szCs w:val="22"/>
          <w:u w:val="single"/>
        </w:rPr>
        <w:t>11. IDENTIFYING INFORMATION AND PRIVACY NOTIFICATION</w:t>
      </w:r>
      <w:r w:rsidRPr="005F4DCE">
        <w:rPr>
          <w:rFonts w:ascii="Calibri" w:hAnsi="Calibri" w:cs="Calibri"/>
          <w:sz w:val="22"/>
          <w:szCs w:val="22"/>
          <w:u w:val="single"/>
        </w:rPr>
        <w:t xml:space="preserve">. </w:t>
      </w:r>
      <w:r w:rsidRPr="005F4DCE">
        <w:rPr>
          <w:rFonts w:ascii="Calibri" w:hAnsi="Calibri" w:cs="Calibri"/>
          <w:sz w:val="22"/>
          <w:szCs w:val="22"/>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B3C97D5" w14:textId="77777777" w:rsidR="00075F88" w:rsidRPr="005F4DCE" w:rsidRDefault="00075F88" w:rsidP="00547A70">
      <w:pPr>
        <w:pStyle w:val="PlainText"/>
        <w:spacing w:line="276" w:lineRule="auto"/>
        <w:jc w:val="both"/>
        <w:rPr>
          <w:rFonts w:ascii="Calibri" w:hAnsi="Calibri" w:cs="Calibri"/>
          <w:sz w:val="22"/>
          <w:szCs w:val="22"/>
        </w:rPr>
      </w:pPr>
    </w:p>
    <w:p w14:paraId="3E99A0F8" w14:textId="77777777" w:rsidR="00075F88" w:rsidRPr="005F4DCE" w:rsidRDefault="00075F88" w:rsidP="00547A70">
      <w:pPr>
        <w:pStyle w:val="PlainText"/>
        <w:spacing w:line="276" w:lineRule="auto"/>
        <w:jc w:val="both"/>
        <w:rPr>
          <w:rFonts w:ascii="Calibri" w:hAnsi="Calibri" w:cs="Calibri"/>
          <w:sz w:val="22"/>
          <w:szCs w:val="22"/>
        </w:rPr>
      </w:pPr>
      <w:r w:rsidRPr="005F4DCE">
        <w:rPr>
          <w:rFonts w:ascii="Calibri" w:hAnsi="Calibri" w:cs="Calibri"/>
          <w:sz w:val="22"/>
          <w:szCs w:val="22"/>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w:t>
      </w:r>
      <w:r w:rsidRPr="005F4DCE">
        <w:rPr>
          <w:rFonts w:ascii="Calibri" w:hAnsi="Calibri" w:cs="Calibri"/>
          <w:sz w:val="22"/>
          <w:szCs w:val="22"/>
        </w:rPr>
        <w:lastRenderedPageBreak/>
        <w:t>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6C114B9" w14:textId="77777777" w:rsidR="00075F88" w:rsidRPr="005F4DCE" w:rsidRDefault="00075F88" w:rsidP="00075F88">
      <w:pPr>
        <w:tabs>
          <w:tab w:val="left" w:pos="720"/>
          <w:tab w:val="left" w:pos="1080"/>
          <w:tab w:val="left" w:pos="1620"/>
        </w:tabs>
        <w:spacing w:before="240"/>
        <w:jc w:val="both"/>
        <w:rPr>
          <w:rFonts w:cs="Calibri"/>
          <w:noProof/>
          <w:color w:val="000000"/>
        </w:rPr>
      </w:pPr>
      <w:r w:rsidRPr="005F4DCE">
        <w:rPr>
          <w:rFonts w:cs="Calibri"/>
          <w:b/>
          <w:noProof/>
          <w:color w:val="000000"/>
        </w:rPr>
        <w:t xml:space="preserve">12. </w:t>
      </w:r>
      <w:r w:rsidRPr="005F4DCE">
        <w:rPr>
          <w:rFonts w:cs="Calibri"/>
          <w:b/>
          <w:noProof/>
          <w:color w:val="000000"/>
          <w:u w:val="single"/>
        </w:rPr>
        <w:t>EQUAL EMPLOYMENT OPPORTUNITIES FOR MINORITIES AND WOMEN</w:t>
      </w:r>
      <w:r w:rsidRPr="005F4DCE">
        <w:rPr>
          <w:rFonts w:cs="Calibri"/>
          <w:b/>
          <w:noProof/>
          <w:color w:val="000000"/>
        </w:rPr>
        <w:t>.</w:t>
      </w:r>
      <w:r w:rsidRPr="005F4DCE">
        <w:rPr>
          <w:rFonts w:cs="Calibri"/>
          <w:noProof/>
          <w:color w:val="00000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F4DCE">
        <w:rPr>
          <w:rFonts w:cs="Calibri"/>
          <w:color w:val="000000"/>
        </w:rPr>
        <w:t>by signing this agreement the Contractor certifies and affirms that it is Contractor’s equal employment opportunity policy that</w:t>
      </w:r>
      <w:r w:rsidRPr="005F4DCE">
        <w:rPr>
          <w:rFonts w:cs="Calibri"/>
          <w:noProof/>
          <w:color w:val="000000"/>
        </w:rPr>
        <w:t>:</w:t>
      </w:r>
    </w:p>
    <w:p w14:paraId="5844D3C0"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(a)  The Contractor will not discriminate against employees or applicants for employment because of race, creed, color, national origin, sex, age, disability or marital status, s</w:t>
      </w:r>
      <w:r w:rsidRPr="005F4DCE">
        <w:rPr>
          <w:rFonts w:cs="Calibri"/>
          <w:color w:val="000000"/>
        </w:rPr>
        <w:t>hall make and document its conscientious and active efforts to employ and utilize minority group members and women in its work force on State contracts</w:t>
      </w:r>
      <w:r w:rsidRPr="005F4DCE">
        <w:rPr>
          <w:rFonts w:cs="Calibri"/>
          <w:noProof/>
          <w:color w:val="00000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5F4DCE">
        <w:rPr>
          <w:rFonts w:cs="Calibri"/>
          <w:noProof/>
          <w:color w:val="000000"/>
        </w:rPr>
        <w:softHyphen/>
        <w:t>tion and rates of pay or other forms of compensation;</w:t>
      </w:r>
    </w:p>
    <w:p w14:paraId="637C3EB8"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54D05E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6E8AF4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lastRenderedPageBreak/>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7985B3B"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13. </w:t>
      </w:r>
      <w:r w:rsidRPr="005F4DCE">
        <w:rPr>
          <w:rFonts w:cs="Calibri"/>
          <w:b/>
          <w:noProof/>
          <w:color w:val="000000"/>
          <w:u w:val="single"/>
        </w:rPr>
        <w:t>CONFLICTING TERMS</w:t>
      </w:r>
      <w:r w:rsidRPr="005F4DCE">
        <w:rPr>
          <w:rFonts w:cs="Calibri"/>
          <w:b/>
          <w:noProof/>
          <w:color w:val="000000"/>
        </w:rPr>
        <w:t>.</w:t>
      </w:r>
      <w:r w:rsidRPr="005F4DCE">
        <w:rPr>
          <w:rFonts w:cs="Calibri"/>
          <w:noProof/>
          <w:color w:val="000000"/>
        </w:rPr>
        <w:t xml:space="preserve">  In the event of a conflict between the terms of the contract (including any and all attachments thereto and amendments thereof) and the terms of this Appendix A, the terms of this Appendix A shall control.</w:t>
      </w:r>
    </w:p>
    <w:p w14:paraId="5AF0C19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14. </w:t>
      </w:r>
      <w:r w:rsidRPr="005F4DCE">
        <w:rPr>
          <w:rFonts w:cs="Calibri"/>
          <w:b/>
          <w:noProof/>
          <w:color w:val="000000"/>
          <w:u w:val="single"/>
        </w:rPr>
        <w:t>GOVERNING LAW</w:t>
      </w:r>
      <w:r w:rsidRPr="005F4DCE">
        <w:rPr>
          <w:rFonts w:cs="Calibri"/>
          <w:b/>
          <w:noProof/>
          <w:color w:val="000000"/>
        </w:rPr>
        <w:t>.</w:t>
      </w:r>
      <w:r w:rsidRPr="005F4DCE">
        <w:rPr>
          <w:rFonts w:cs="Calibri"/>
          <w:noProof/>
          <w:color w:val="000000"/>
        </w:rPr>
        <w:t xml:space="preserve">  This contract shall be governed by the laws of the State of New York except where the Federal supremacy clause requires otherwise.</w:t>
      </w:r>
    </w:p>
    <w:p w14:paraId="6140CCC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15. </w:t>
      </w:r>
      <w:r w:rsidRPr="005F4DCE">
        <w:rPr>
          <w:rFonts w:cs="Calibri"/>
          <w:b/>
          <w:noProof/>
          <w:color w:val="000000"/>
          <w:u w:val="single"/>
        </w:rPr>
        <w:t>LATE PAYMENT</w:t>
      </w:r>
      <w:r w:rsidRPr="005F4DCE">
        <w:rPr>
          <w:rFonts w:cs="Calibri"/>
          <w:noProof/>
          <w:color w:val="000000"/>
        </w:rPr>
        <w:t>.  Timeliness of payment and any interest to be paid to Contractor for late payment shall be governed by Article 11-A of the State Finance Law to the extent required by law.</w:t>
      </w:r>
    </w:p>
    <w:p w14:paraId="0DFCA3D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16. </w:t>
      </w:r>
      <w:r w:rsidRPr="005F4DCE">
        <w:rPr>
          <w:rFonts w:cs="Calibri"/>
          <w:b/>
          <w:noProof/>
          <w:color w:val="000000"/>
          <w:u w:val="single"/>
        </w:rPr>
        <w:t>NO ARBITRATION</w:t>
      </w:r>
      <w:r w:rsidRPr="005F4DCE">
        <w:rPr>
          <w:rFonts w:cs="Calibri"/>
          <w:b/>
          <w:noProof/>
          <w:color w:val="000000"/>
        </w:rPr>
        <w:t>.</w:t>
      </w:r>
      <w:r w:rsidRPr="005F4DCE">
        <w:rPr>
          <w:rFonts w:cs="Calibri"/>
          <w:noProof/>
          <w:color w:val="00000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027509E"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17. </w:t>
      </w:r>
      <w:r w:rsidRPr="005F4DCE">
        <w:rPr>
          <w:rFonts w:cs="Calibri"/>
          <w:b/>
          <w:noProof/>
          <w:color w:val="000000"/>
          <w:u w:val="single"/>
        </w:rPr>
        <w:t>SERVICE OF PROCESS</w:t>
      </w:r>
      <w:r w:rsidRPr="005F4DCE">
        <w:rPr>
          <w:rFonts w:cs="Calibri"/>
          <w:noProof/>
          <w:color w:val="00000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F4C967C" w14:textId="77777777" w:rsidR="00075F88" w:rsidRPr="005F4DCE" w:rsidRDefault="00075F88" w:rsidP="00075F88">
      <w:pPr>
        <w:tabs>
          <w:tab w:val="left" w:pos="720"/>
        </w:tabs>
        <w:jc w:val="both"/>
        <w:rPr>
          <w:rFonts w:cs="Calibri"/>
          <w:noProof/>
          <w:color w:val="000000"/>
        </w:rPr>
      </w:pPr>
      <w:r w:rsidRPr="005F4DCE">
        <w:rPr>
          <w:rFonts w:cs="Calibri"/>
          <w:b/>
          <w:noProof/>
          <w:color w:val="000000"/>
        </w:rPr>
        <w:t xml:space="preserve">18. </w:t>
      </w:r>
      <w:r w:rsidRPr="005F4DCE">
        <w:rPr>
          <w:rFonts w:cs="Calibri"/>
          <w:b/>
          <w:noProof/>
          <w:color w:val="000000"/>
          <w:u w:val="single"/>
        </w:rPr>
        <w:t>PROHIBITION ON PURCHASE OF TROPICAL HARDWOODS</w:t>
      </w:r>
      <w:r w:rsidRPr="005F4DCE">
        <w:rPr>
          <w:rFonts w:cs="Calibri"/>
          <w:noProof/>
          <w:color w:val="000000"/>
        </w:rPr>
        <w:t>. The Contractor certifies and warrants that all wood products to be used under this contract award will be in accordance with, but not limited to, the specifica</w:t>
      </w:r>
      <w:r w:rsidRPr="005F4DCE">
        <w:rPr>
          <w:rFonts w:cs="Calibri"/>
          <w:noProof/>
          <w:color w:val="00000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5F4DCE">
        <w:rPr>
          <w:rFonts w:cs="Calibri"/>
          <w:noProof/>
          <w:color w:val="000000"/>
        </w:rPr>
        <w:softHyphen/>
        <w:t>tion for an exemption under this law will be the responsibility of the contractor to establish to meet with the approval of the State.</w:t>
      </w:r>
    </w:p>
    <w:p w14:paraId="68361220" w14:textId="77777777" w:rsidR="00075F88" w:rsidRPr="005F4DCE" w:rsidRDefault="00075F88" w:rsidP="00075F88">
      <w:pPr>
        <w:tabs>
          <w:tab w:val="left" w:pos="720"/>
        </w:tabs>
        <w:jc w:val="both"/>
        <w:rPr>
          <w:rFonts w:cs="Calibri"/>
          <w:noProof/>
          <w:color w:val="000000"/>
        </w:rPr>
      </w:pPr>
      <w:r w:rsidRPr="005F4DCE">
        <w:rPr>
          <w:rFonts w:cs="Calibri"/>
          <w:noProof/>
          <w:color w:val="000000"/>
        </w:rPr>
        <w:lastRenderedPageBreak/>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D6231DC" w14:textId="77777777" w:rsidR="00075F88" w:rsidRPr="005F4DCE" w:rsidRDefault="00075F88" w:rsidP="00075F88">
      <w:pPr>
        <w:tabs>
          <w:tab w:val="left" w:pos="450"/>
          <w:tab w:val="left" w:pos="720"/>
          <w:tab w:val="left" w:pos="1080"/>
          <w:tab w:val="left" w:pos="1620"/>
        </w:tabs>
        <w:jc w:val="both"/>
        <w:rPr>
          <w:rFonts w:cs="Calibri"/>
          <w:noProof/>
          <w:color w:val="000000"/>
        </w:rPr>
      </w:pPr>
      <w:r w:rsidRPr="005F4DCE">
        <w:rPr>
          <w:rFonts w:cs="Calibri"/>
          <w:b/>
          <w:noProof/>
          <w:color w:val="000000"/>
        </w:rPr>
        <w:t xml:space="preserve">19. </w:t>
      </w:r>
      <w:r w:rsidRPr="005F4DCE">
        <w:rPr>
          <w:rFonts w:cs="Calibri"/>
          <w:b/>
          <w:noProof/>
          <w:color w:val="000000"/>
          <w:u w:val="single"/>
        </w:rPr>
        <w:t>MACBRIDE FAIR EMPLOYMENT PRINCIPLES</w:t>
      </w:r>
      <w:r w:rsidRPr="005F4DCE">
        <w:rPr>
          <w:rFonts w:cs="Calibri"/>
          <w:b/>
          <w:noProof/>
          <w:color w:val="000000"/>
        </w:rPr>
        <w:t>.</w:t>
      </w:r>
      <w:r w:rsidRPr="005F4DCE">
        <w:rPr>
          <w:rFonts w:cs="Calibri"/>
          <w:noProof/>
          <w:color w:val="00000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B1FB5C4"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20.  </w:t>
      </w:r>
      <w:r w:rsidRPr="005F4DCE">
        <w:rPr>
          <w:rFonts w:cs="Calibri"/>
          <w:b/>
          <w:noProof/>
          <w:color w:val="000000"/>
          <w:u w:val="single"/>
        </w:rPr>
        <w:t>OMNIBUS PROCUREMENT ACT OF 1992</w:t>
      </w:r>
      <w:r w:rsidRPr="005F4DCE">
        <w:rPr>
          <w:rFonts w:cs="Calibri"/>
          <w:b/>
          <w:noProof/>
          <w:color w:val="000000"/>
        </w:rPr>
        <w:t>.</w:t>
      </w:r>
      <w:r w:rsidRPr="005F4DCE">
        <w:rPr>
          <w:rFonts w:cs="Calibri"/>
          <w:noProof/>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A8CE8F5"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Information on the availability of New York State subcontractors and suppliers is available from:</w:t>
      </w:r>
    </w:p>
    <w:p w14:paraId="1AD1E728" w14:textId="77777777" w:rsidR="00075F88" w:rsidRPr="005F4DCE" w:rsidRDefault="00075F88" w:rsidP="00075F88">
      <w:pPr>
        <w:tabs>
          <w:tab w:val="left" w:pos="720"/>
          <w:tab w:val="left" w:pos="1350"/>
          <w:tab w:val="left" w:pos="1620"/>
        </w:tabs>
        <w:spacing w:after="0"/>
        <w:ind w:left="288"/>
        <w:jc w:val="both"/>
        <w:rPr>
          <w:rFonts w:cs="Calibri"/>
          <w:noProof/>
          <w:color w:val="000000"/>
        </w:rPr>
      </w:pPr>
      <w:r w:rsidRPr="005F4DCE">
        <w:rPr>
          <w:rFonts w:cs="Calibri"/>
          <w:noProof/>
          <w:color w:val="000000"/>
        </w:rPr>
        <w:t>NYS Department of Economic Development</w:t>
      </w:r>
    </w:p>
    <w:p w14:paraId="019DAF72" w14:textId="77777777" w:rsidR="00075F88" w:rsidRPr="005F4DCE" w:rsidRDefault="00075F88" w:rsidP="00075F88">
      <w:pPr>
        <w:tabs>
          <w:tab w:val="left" w:pos="720"/>
          <w:tab w:val="left" w:pos="1350"/>
          <w:tab w:val="left" w:pos="1620"/>
        </w:tabs>
        <w:spacing w:after="0"/>
        <w:ind w:left="288"/>
        <w:jc w:val="both"/>
        <w:rPr>
          <w:rFonts w:cs="Calibri"/>
          <w:noProof/>
          <w:color w:val="000000"/>
        </w:rPr>
      </w:pPr>
      <w:r w:rsidRPr="005F4DCE">
        <w:rPr>
          <w:rFonts w:cs="Calibri"/>
          <w:noProof/>
          <w:color w:val="000000"/>
        </w:rPr>
        <w:t>Division for Small Business</w:t>
      </w:r>
    </w:p>
    <w:p w14:paraId="19604796"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Albany, New York  12245</w:t>
      </w:r>
    </w:p>
    <w:p w14:paraId="1DA70E8D"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Telephone:  518-292-5100</w:t>
      </w:r>
    </w:p>
    <w:p w14:paraId="2CE5FA06"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Fax:  518-292-5884</w:t>
      </w:r>
    </w:p>
    <w:p w14:paraId="0DB57C41" w14:textId="4AD0C559" w:rsidR="00075F88" w:rsidRPr="005F4DCE" w:rsidRDefault="00075F88" w:rsidP="00075F88">
      <w:pPr>
        <w:tabs>
          <w:tab w:val="left" w:pos="720"/>
          <w:tab w:val="left" w:pos="1080"/>
          <w:tab w:val="left" w:pos="1620"/>
        </w:tabs>
        <w:spacing w:after="0"/>
        <w:ind w:left="288"/>
        <w:jc w:val="both"/>
        <w:rPr>
          <w:rFonts w:cs="Calibri"/>
        </w:rPr>
      </w:pPr>
      <w:r w:rsidRPr="005F4DCE">
        <w:rPr>
          <w:rFonts w:cs="Calibri"/>
        </w:rPr>
        <w:t>e</w:t>
      </w:r>
      <w:r w:rsidR="006D0479">
        <w:rPr>
          <w:rFonts w:cs="Calibri"/>
        </w:rPr>
        <w:t>-</w:t>
      </w:r>
      <w:r w:rsidRPr="005F4DCE">
        <w:rPr>
          <w:rFonts w:cs="Calibri"/>
        </w:rPr>
        <w:t xml:space="preserve">mail: </w:t>
      </w:r>
      <w:hyperlink r:id="rId14" w:history="1">
        <w:r w:rsidRPr="005F4DCE">
          <w:rPr>
            <w:rStyle w:val="Hyperlink"/>
            <w:rFonts w:cs="Calibri"/>
          </w:rPr>
          <w:t>opa@esd.ny.gov</w:t>
        </w:r>
      </w:hyperlink>
    </w:p>
    <w:p w14:paraId="066C9110" w14:textId="77777777" w:rsidR="00075F88" w:rsidRPr="005F4DCE" w:rsidRDefault="00075F88" w:rsidP="00075F88">
      <w:pPr>
        <w:tabs>
          <w:tab w:val="left" w:pos="720"/>
          <w:tab w:val="left" w:pos="1080"/>
          <w:tab w:val="left" w:pos="1620"/>
        </w:tabs>
        <w:spacing w:before="240"/>
        <w:jc w:val="both"/>
        <w:rPr>
          <w:rFonts w:cs="Calibri"/>
          <w:noProof/>
        </w:rPr>
      </w:pPr>
      <w:r w:rsidRPr="005F4DCE">
        <w:rPr>
          <w:rFonts w:cs="Calibri"/>
          <w:noProof/>
        </w:rPr>
        <w:t>A directory of certified minority and women-owned business enterprises is available from:</w:t>
      </w:r>
    </w:p>
    <w:p w14:paraId="0E05BA91" w14:textId="77777777" w:rsidR="00075F88" w:rsidRPr="005F4DCE" w:rsidRDefault="00075F88" w:rsidP="00075F88">
      <w:pPr>
        <w:tabs>
          <w:tab w:val="left" w:pos="720"/>
          <w:tab w:val="left" w:pos="1350"/>
          <w:tab w:val="left" w:pos="1620"/>
        </w:tabs>
        <w:spacing w:after="0"/>
        <w:ind w:left="288"/>
        <w:rPr>
          <w:rFonts w:cs="Calibri"/>
          <w:noProof/>
        </w:rPr>
      </w:pPr>
      <w:r w:rsidRPr="005F4DCE">
        <w:rPr>
          <w:rFonts w:cs="Calibri"/>
          <w:noProof/>
        </w:rPr>
        <w:t>NYS Department of Economic Development</w:t>
      </w:r>
    </w:p>
    <w:p w14:paraId="0CD2FACC" w14:textId="77777777" w:rsidR="00075F88" w:rsidRPr="005F4DCE" w:rsidRDefault="00075F88" w:rsidP="00075F88">
      <w:pPr>
        <w:tabs>
          <w:tab w:val="left" w:pos="720"/>
          <w:tab w:val="left" w:pos="1350"/>
          <w:tab w:val="left" w:pos="1620"/>
        </w:tabs>
        <w:spacing w:after="0"/>
        <w:ind w:left="288"/>
        <w:rPr>
          <w:rFonts w:cs="Calibri"/>
          <w:noProof/>
        </w:rPr>
      </w:pPr>
      <w:r w:rsidRPr="005F4DCE">
        <w:rPr>
          <w:rFonts w:cs="Calibri"/>
          <w:noProof/>
        </w:rPr>
        <w:t>Division of Minority and Women's Business Development</w:t>
      </w:r>
    </w:p>
    <w:p w14:paraId="14EC2317"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633 Third Avenue</w:t>
      </w:r>
    </w:p>
    <w:p w14:paraId="420AE350"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New York, NY 10017</w:t>
      </w:r>
    </w:p>
    <w:p w14:paraId="36BF4DDD"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212-803-2414</w:t>
      </w:r>
    </w:p>
    <w:p w14:paraId="641AF8B1" w14:textId="4CD9A0A3"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e</w:t>
      </w:r>
      <w:r w:rsidR="006D0479">
        <w:rPr>
          <w:rFonts w:ascii="Calibri" w:hAnsi="Calibri" w:cs="Calibri"/>
          <w:color w:val="auto"/>
          <w:sz w:val="22"/>
          <w:szCs w:val="22"/>
        </w:rPr>
        <w:t>-</w:t>
      </w:r>
      <w:r w:rsidRPr="005F4DCE">
        <w:rPr>
          <w:rFonts w:ascii="Calibri" w:hAnsi="Calibri" w:cs="Calibri"/>
          <w:color w:val="auto"/>
          <w:sz w:val="22"/>
          <w:szCs w:val="22"/>
        </w:rPr>
        <w:t xml:space="preserve">mail: </w:t>
      </w:r>
      <w:hyperlink r:id="rId15" w:history="1">
        <w:r w:rsidRPr="005F4DCE">
          <w:rPr>
            <w:rStyle w:val="Hyperlink"/>
            <w:rFonts w:eastAsia="Calibri" w:cs="Calibri"/>
            <w:color w:val="auto"/>
            <w:sz w:val="22"/>
            <w:szCs w:val="22"/>
          </w:rPr>
          <w:t>mwbecertification@esd.ny.gov</w:t>
        </w:r>
      </w:hyperlink>
    </w:p>
    <w:p w14:paraId="79C37D3B" w14:textId="77777777" w:rsidR="00075F88" w:rsidRPr="005F4DCE" w:rsidRDefault="00E7418D" w:rsidP="00547A70">
      <w:pPr>
        <w:tabs>
          <w:tab w:val="left" w:pos="720"/>
          <w:tab w:val="left" w:pos="1080"/>
          <w:tab w:val="left" w:pos="1620"/>
        </w:tabs>
        <w:ind w:left="288"/>
        <w:jc w:val="both"/>
        <w:rPr>
          <w:rFonts w:cs="Calibri"/>
        </w:rPr>
      </w:pPr>
      <w:hyperlink r:id="rId16" w:history="1">
        <w:r w:rsidR="00075F88" w:rsidRPr="005F4DCE">
          <w:rPr>
            <w:rStyle w:val="Hyperlink"/>
            <w:rFonts w:cs="Calibri"/>
          </w:rPr>
          <w:t>https://ny.newnycontracts.com/FrontEnd/VendorSearchPublic.asp</w:t>
        </w:r>
      </w:hyperlink>
    </w:p>
    <w:p w14:paraId="5BA845F4"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The Omnibus Procurement Act of 1992 requires that by signing this bid proposal or contract, as applicable, Contractors certify that whenever the total bid amount is greater than $1 million:</w:t>
      </w:r>
    </w:p>
    <w:p w14:paraId="619095D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2D1C1D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lastRenderedPageBreak/>
        <w:t xml:space="preserve">(b) The Contractor has complied with the Federal Equal Opportunity Act of 1972 (P.L. 92-261), as amended; </w:t>
      </w:r>
    </w:p>
    <w:p w14:paraId="4405E8F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1C70461" w14:textId="77777777" w:rsidR="00075F88" w:rsidRPr="005F4DCE" w:rsidRDefault="00075F88" w:rsidP="00075F88">
      <w:pPr>
        <w:tabs>
          <w:tab w:val="left" w:pos="720"/>
          <w:tab w:val="left" w:pos="1080"/>
          <w:tab w:val="left" w:pos="1620"/>
        </w:tabs>
        <w:jc w:val="both"/>
        <w:rPr>
          <w:rFonts w:cs="Calibri"/>
          <w:b/>
          <w:noProof/>
          <w:color w:val="000000"/>
        </w:rPr>
      </w:pPr>
      <w:r w:rsidRPr="005F4DCE">
        <w:rPr>
          <w:rFonts w:cs="Calibri"/>
          <w:noProof/>
          <w:color w:val="000000"/>
        </w:rPr>
        <w:t>(d) The Contractor acknowledges notice that the State may seek to obtain offset credits from foreign countries as a result of this contract and agrees to cooperate with the State in these efforts.</w:t>
      </w:r>
    </w:p>
    <w:p w14:paraId="3AFFD402" w14:textId="77777777" w:rsidR="00075F88" w:rsidRPr="005F4DCE" w:rsidRDefault="00075F88" w:rsidP="00075F88">
      <w:pPr>
        <w:tabs>
          <w:tab w:val="left" w:pos="450"/>
          <w:tab w:val="left" w:pos="720"/>
          <w:tab w:val="left" w:pos="1080"/>
          <w:tab w:val="left" w:pos="1620"/>
        </w:tabs>
        <w:jc w:val="both"/>
        <w:rPr>
          <w:rFonts w:cs="Calibri"/>
          <w:noProof/>
          <w:color w:val="000000"/>
        </w:rPr>
      </w:pPr>
      <w:r w:rsidRPr="005F4DCE">
        <w:rPr>
          <w:rFonts w:cs="Calibri"/>
          <w:b/>
          <w:noProof/>
          <w:color w:val="000000"/>
        </w:rPr>
        <w:t xml:space="preserve">21. </w:t>
      </w:r>
      <w:r w:rsidRPr="005F4DCE">
        <w:rPr>
          <w:rFonts w:cs="Calibri"/>
          <w:b/>
          <w:noProof/>
          <w:color w:val="000000"/>
          <w:u w:val="single"/>
        </w:rPr>
        <w:t>RECIPROCITY AND SANCTIONS PROVISIONS</w:t>
      </w:r>
      <w:r w:rsidRPr="005F4DCE">
        <w:rPr>
          <w:rFonts w:cs="Calibri"/>
          <w:b/>
          <w:noProof/>
          <w:color w:val="000000"/>
        </w:rPr>
        <w:t xml:space="preserve">.   </w:t>
      </w:r>
      <w:r w:rsidRPr="005F4DCE">
        <w:rPr>
          <w:rFonts w:cs="Calibri"/>
          <w:noProof/>
          <w:color w:val="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0375113E" w14:textId="77777777" w:rsidR="00075F88" w:rsidRPr="005F4DCE" w:rsidRDefault="00075F88" w:rsidP="00075F88">
      <w:pPr>
        <w:tabs>
          <w:tab w:val="left" w:pos="450"/>
          <w:tab w:val="left" w:pos="720"/>
        </w:tabs>
        <w:jc w:val="both"/>
        <w:rPr>
          <w:rFonts w:cs="Calibri"/>
          <w:color w:val="000000"/>
        </w:rPr>
      </w:pPr>
      <w:r w:rsidRPr="005F4DCE">
        <w:rPr>
          <w:rFonts w:cs="Calibri"/>
          <w:b/>
          <w:color w:val="000000"/>
        </w:rPr>
        <w:t xml:space="preserve">22. </w:t>
      </w:r>
      <w:r w:rsidRPr="005F4DCE">
        <w:rPr>
          <w:rFonts w:cs="Calibri"/>
          <w:b/>
          <w:color w:val="000000"/>
          <w:u w:val="single"/>
        </w:rPr>
        <w:t xml:space="preserve">COMPLIANCE WITH NEW YORK STATE INFORMATION SECURITY BREACH AND NOTIFICATION ACT. </w:t>
      </w:r>
      <w:r w:rsidRPr="005F4DCE">
        <w:rPr>
          <w:rFonts w:cs="Calibri"/>
          <w:b/>
          <w:color w:val="000000"/>
        </w:rPr>
        <w:t xml:space="preserve">  </w:t>
      </w:r>
      <w:r w:rsidRPr="005F4DCE">
        <w:rPr>
          <w:rFonts w:cs="Calibri"/>
          <w:color w:val="000000"/>
        </w:rPr>
        <w:t xml:space="preserve">Contractor shall comply with the provisions of the New York State Information Security Breach and Notification Act (General Business Law Section 899-aa; State Technology Law Section 208).  </w:t>
      </w:r>
    </w:p>
    <w:p w14:paraId="3D233A0F" w14:textId="77777777" w:rsidR="00075F88" w:rsidRPr="005F4DCE" w:rsidRDefault="00075F88" w:rsidP="00075F88">
      <w:pPr>
        <w:tabs>
          <w:tab w:val="left" w:pos="450"/>
          <w:tab w:val="left" w:pos="720"/>
        </w:tabs>
        <w:jc w:val="both"/>
        <w:rPr>
          <w:rFonts w:cs="Calibri"/>
          <w:color w:val="000000"/>
        </w:rPr>
      </w:pPr>
      <w:r w:rsidRPr="005F4DCE">
        <w:rPr>
          <w:rFonts w:cs="Calibri"/>
          <w:b/>
          <w:color w:val="000000"/>
        </w:rPr>
        <w:t xml:space="preserve">23. </w:t>
      </w:r>
      <w:r w:rsidRPr="005F4DCE">
        <w:rPr>
          <w:rFonts w:cs="Calibri"/>
          <w:b/>
          <w:color w:val="000000"/>
          <w:u w:val="single"/>
        </w:rPr>
        <w:t>COMPLIANCE WITH CONSULTANT DISCLOSURE LAW</w:t>
      </w:r>
      <w:r w:rsidRPr="005F4DCE">
        <w:rPr>
          <w:rFonts w:cs="Calibri"/>
          <w:b/>
          <w:color w:val="000000"/>
        </w:rPr>
        <w:t xml:space="preserve">. </w:t>
      </w:r>
      <w:r w:rsidRPr="005F4DCE">
        <w:rPr>
          <w:rFonts w:cs="Calibri"/>
          <w:color w:val="00000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B7736AE" w14:textId="77777777" w:rsidR="00075F88" w:rsidRPr="005F4DCE" w:rsidRDefault="00075F88" w:rsidP="00075F88">
      <w:pPr>
        <w:tabs>
          <w:tab w:val="left" w:pos="450"/>
          <w:tab w:val="left" w:pos="720"/>
        </w:tabs>
        <w:autoSpaceDE w:val="0"/>
        <w:autoSpaceDN w:val="0"/>
        <w:adjustRightInd w:val="0"/>
        <w:jc w:val="both"/>
        <w:rPr>
          <w:rFonts w:cs="Calibri"/>
          <w:color w:val="000000"/>
        </w:rPr>
      </w:pPr>
      <w:r w:rsidRPr="005F4DCE">
        <w:rPr>
          <w:rFonts w:cs="Calibri"/>
          <w:b/>
          <w:color w:val="000000"/>
        </w:rPr>
        <w:t xml:space="preserve">24. </w:t>
      </w:r>
      <w:r w:rsidRPr="005F4DCE">
        <w:rPr>
          <w:rFonts w:cs="Calibri"/>
          <w:b/>
          <w:color w:val="000000"/>
          <w:u w:val="single"/>
        </w:rPr>
        <w:t>PROCUREMENT LOBBYING</w:t>
      </w:r>
      <w:r w:rsidRPr="005F4DCE">
        <w:rPr>
          <w:rFonts w:cs="Calibri"/>
          <w:b/>
          <w:color w:val="000000"/>
        </w:rPr>
        <w:t xml:space="preserve">. </w:t>
      </w:r>
      <w:r w:rsidRPr="005F4DCE">
        <w:rPr>
          <w:rFonts w:cs="Calibri"/>
          <w:color w:val="000000"/>
        </w:rPr>
        <w:t xml:space="preserve">To the extent this agreement is a "procurement contract" as defined by </w:t>
      </w:r>
    </w:p>
    <w:p w14:paraId="777973E5" w14:textId="0133394A" w:rsidR="00075F88" w:rsidRDefault="00075F88" w:rsidP="00075F88">
      <w:pPr>
        <w:tabs>
          <w:tab w:val="left" w:pos="450"/>
          <w:tab w:val="left" w:pos="720"/>
        </w:tabs>
        <w:autoSpaceDE w:val="0"/>
        <w:autoSpaceDN w:val="0"/>
        <w:adjustRightInd w:val="0"/>
        <w:jc w:val="both"/>
        <w:rPr>
          <w:rFonts w:cs="Calibri"/>
          <w:color w:val="000000"/>
        </w:rPr>
      </w:pPr>
      <w:r w:rsidRPr="005F4DCE">
        <w:rPr>
          <w:rFonts w:cs="Calibri"/>
          <w:color w:val="000000"/>
        </w:rPr>
        <w:t xml:space="preserve">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252980EF" w14:textId="66F0CD42" w:rsidR="00F16B52" w:rsidRDefault="00F16B52" w:rsidP="00075F88">
      <w:pPr>
        <w:tabs>
          <w:tab w:val="left" w:pos="450"/>
          <w:tab w:val="left" w:pos="720"/>
        </w:tabs>
        <w:autoSpaceDE w:val="0"/>
        <w:autoSpaceDN w:val="0"/>
        <w:adjustRightInd w:val="0"/>
        <w:jc w:val="both"/>
        <w:rPr>
          <w:rFonts w:cs="Calibri"/>
          <w:color w:val="000000"/>
        </w:rPr>
      </w:pPr>
    </w:p>
    <w:p w14:paraId="3EFF54A3" w14:textId="77777777" w:rsidR="00F16B52" w:rsidRPr="005F4DCE" w:rsidRDefault="00F16B52" w:rsidP="00075F88">
      <w:pPr>
        <w:tabs>
          <w:tab w:val="left" w:pos="450"/>
          <w:tab w:val="left" w:pos="720"/>
        </w:tabs>
        <w:autoSpaceDE w:val="0"/>
        <w:autoSpaceDN w:val="0"/>
        <w:adjustRightInd w:val="0"/>
        <w:jc w:val="both"/>
        <w:rPr>
          <w:rFonts w:cs="Calibri"/>
          <w:color w:val="000000"/>
        </w:rPr>
      </w:pPr>
    </w:p>
    <w:p w14:paraId="09600B5C" w14:textId="77777777" w:rsidR="00075F88" w:rsidRPr="005F4DCE" w:rsidRDefault="00075F88" w:rsidP="00075F88">
      <w:pPr>
        <w:tabs>
          <w:tab w:val="left" w:pos="720"/>
        </w:tabs>
        <w:autoSpaceDE w:val="0"/>
        <w:autoSpaceDN w:val="0"/>
        <w:adjustRightInd w:val="0"/>
        <w:jc w:val="both"/>
        <w:rPr>
          <w:rFonts w:cs="Calibri"/>
          <w:color w:val="000000"/>
        </w:rPr>
      </w:pPr>
      <w:r w:rsidRPr="005F4DCE">
        <w:rPr>
          <w:rFonts w:cs="Calibri"/>
          <w:b/>
          <w:color w:val="000000"/>
        </w:rPr>
        <w:lastRenderedPageBreak/>
        <w:t xml:space="preserve">25. </w:t>
      </w:r>
      <w:r w:rsidRPr="005F4DCE">
        <w:rPr>
          <w:rFonts w:cs="Calibri"/>
          <w:b/>
          <w:color w:val="000000"/>
          <w:u w:val="single"/>
        </w:rPr>
        <w:t>CERTIFICATION OF REGISTRATION TO COLLECT SALES AND COMPENSATING USE TAX BY CERTAIN STATE CONTRACTORS, AFFILIATES AND SUBCONTRACTORS</w:t>
      </w:r>
      <w:r w:rsidRPr="005F4DCE">
        <w:rPr>
          <w:rFonts w:cs="Calibri"/>
          <w:color w:val="000000"/>
          <w:u w:val="single"/>
        </w:rPr>
        <w:t>.</w:t>
      </w:r>
      <w:r w:rsidRPr="005F4DCE">
        <w:rPr>
          <w:rFonts w:cs="Calibri"/>
          <w:color w:val="000000"/>
        </w:rPr>
        <w:t xml:space="preserve">  </w:t>
      </w:r>
    </w:p>
    <w:p w14:paraId="44A082F1" w14:textId="77777777" w:rsidR="00075F88" w:rsidRPr="005F4DCE" w:rsidRDefault="00075F88" w:rsidP="00075F88">
      <w:pPr>
        <w:tabs>
          <w:tab w:val="left" w:pos="720"/>
        </w:tabs>
        <w:autoSpaceDE w:val="0"/>
        <w:autoSpaceDN w:val="0"/>
        <w:adjustRightInd w:val="0"/>
        <w:jc w:val="both"/>
        <w:rPr>
          <w:rFonts w:cs="Calibri"/>
          <w:color w:val="000000"/>
        </w:rPr>
      </w:pPr>
      <w:r w:rsidRPr="005F4DCE">
        <w:rPr>
          <w:rFonts w:cs="Calibri"/>
          <w:color w:val="00000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CCC2C12" w14:textId="77777777" w:rsidR="00075F88" w:rsidRPr="005F4DCE" w:rsidRDefault="00075F88" w:rsidP="00075F88">
      <w:pPr>
        <w:autoSpaceDE w:val="0"/>
        <w:autoSpaceDN w:val="0"/>
        <w:rPr>
          <w:rFonts w:cs="Calibri"/>
        </w:rPr>
      </w:pPr>
      <w:r w:rsidRPr="005F4DCE">
        <w:rPr>
          <w:rFonts w:cs="Calibri"/>
        </w:rPr>
        <w:t xml:space="preserve">26. </w:t>
      </w:r>
      <w:r w:rsidRPr="005F4DCE">
        <w:rPr>
          <w:rFonts w:cs="Calibri"/>
          <w:b/>
          <w:bCs/>
          <w:u w:val="single"/>
        </w:rPr>
        <w:t>IRAN DIVESTMENT ACT</w:t>
      </w:r>
      <w:r w:rsidRPr="005F4DCE">
        <w:rPr>
          <w:rFonts w:cs="Calibri"/>
        </w:rPr>
        <w:t xml:space="preserve">.  </w:t>
      </w:r>
      <w:r w:rsidRPr="005F4DCE">
        <w:rPr>
          <w:rFonts w:cs="Calibri"/>
          <w:bCs/>
          <w:iCs/>
        </w:rPr>
        <w:t>By entering into this Agreement, Contractor certifies</w:t>
      </w:r>
      <w:r w:rsidRPr="005F4DCE">
        <w:rPr>
          <w:rFonts w:cs="Calibri"/>
        </w:rPr>
        <w:t xml:space="preserve"> in accordance with State Finance Law §165-a that it is not on the “Entities Determined to be Non-Responsive Bidders/Offerers pursuant to the New York State Iran Divestment Act of 2012” (“Prohibited Entities List”) posted at: </w:t>
      </w:r>
      <w:hyperlink r:id="rId17" w:history="1">
        <w:r w:rsidRPr="005F4DCE">
          <w:rPr>
            <w:rStyle w:val="Hyperlink"/>
            <w:rFonts w:cs="Calibri"/>
          </w:rPr>
          <w:t>http://www.ogs.ny.gov/about/regs/docs/ListofEntities.pdf</w:t>
        </w:r>
      </w:hyperlink>
    </w:p>
    <w:p w14:paraId="1FC3842F" w14:textId="77777777" w:rsidR="00075F88" w:rsidRPr="005F4DCE" w:rsidRDefault="00075F88" w:rsidP="00075F88">
      <w:pPr>
        <w:autoSpaceDE w:val="0"/>
        <w:autoSpaceDN w:val="0"/>
        <w:jc w:val="both"/>
        <w:rPr>
          <w:rFonts w:cs="Calibri"/>
        </w:rPr>
      </w:pPr>
      <w:r w:rsidRPr="005F4DCE">
        <w:rPr>
          <w:rFonts w:cs="Calibri"/>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AB2CA27" w14:textId="77777777" w:rsidR="00075F88" w:rsidRPr="005F4DCE" w:rsidRDefault="00075F88" w:rsidP="00075F88">
      <w:pPr>
        <w:jc w:val="both"/>
        <w:rPr>
          <w:rFonts w:cs="Calibri"/>
          <w:color w:val="000000"/>
        </w:rPr>
      </w:pPr>
      <w:r w:rsidRPr="005F4DCE">
        <w:rPr>
          <w:rFonts w:cs="Calibri"/>
          <w:color w:val="00000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021429" w14:textId="77777777" w:rsidR="00075F88" w:rsidRPr="005F4DCE" w:rsidRDefault="00075F88" w:rsidP="00075F88">
      <w:pPr>
        <w:jc w:val="both"/>
        <w:rPr>
          <w:rFonts w:cs="Calibri"/>
        </w:rPr>
      </w:pPr>
      <w:r w:rsidRPr="005F4DCE">
        <w:rPr>
          <w:rFonts w:cs="Calibri"/>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72CC2223" w14:textId="77777777" w:rsidR="00075F88" w:rsidRPr="005F4DCE" w:rsidRDefault="00075F88" w:rsidP="00075F88">
      <w:pPr>
        <w:tabs>
          <w:tab w:val="left" w:pos="540"/>
          <w:tab w:val="center" w:pos="4680"/>
          <w:tab w:val="right" w:pos="9900"/>
        </w:tabs>
        <w:jc w:val="both"/>
        <w:rPr>
          <w:rFonts w:cs="Calibri"/>
          <w:sz w:val="20"/>
          <w:szCs w:val="20"/>
        </w:rPr>
      </w:pPr>
      <w:r w:rsidRPr="005F4DCE">
        <w:rPr>
          <w:rFonts w:cs="Calibri"/>
          <w:b/>
          <w:sz w:val="20"/>
          <w:szCs w:val="20"/>
        </w:rPr>
        <w:t>January 2014</w:t>
      </w:r>
    </w:p>
    <w:p w14:paraId="1C46903A" w14:textId="77777777" w:rsidR="00075F88" w:rsidRPr="00B3396B" w:rsidRDefault="00075F88" w:rsidP="00075F88">
      <w:pPr>
        <w:rPr>
          <w:rFonts w:ascii="Arial" w:hAnsi="Arial" w:cs="Arial"/>
        </w:rPr>
        <w:sectPr w:rsidR="00075F88" w:rsidRPr="00B3396B" w:rsidSect="00AD79FF">
          <w:headerReference w:type="even" r:id="rId18"/>
          <w:headerReference w:type="default" r:id="rId19"/>
          <w:footerReference w:type="default" r:id="rId20"/>
          <w:headerReference w:type="first" r:id="rId21"/>
          <w:pgSz w:w="12240" w:h="15840"/>
          <w:pgMar w:top="1440" w:right="1440" w:bottom="1440" w:left="1440" w:header="360" w:footer="360" w:gutter="0"/>
          <w:cols w:space="720"/>
          <w:docGrid w:linePitch="360"/>
        </w:sectPr>
      </w:pPr>
    </w:p>
    <w:p w14:paraId="5A17D01E" w14:textId="77777777" w:rsidR="00075F88" w:rsidRPr="00B3396B" w:rsidRDefault="00075F88" w:rsidP="00075F88">
      <w:pPr>
        <w:pStyle w:val="Heading1"/>
        <w:jc w:val="center"/>
        <w:rPr>
          <w:rFonts w:ascii="Arial" w:hAnsi="Arial" w:cs="Arial"/>
          <w:sz w:val="28"/>
          <w:szCs w:val="28"/>
        </w:rPr>
      </w:pPr>
      <w:bookmarkStart w:id="4" w:name="_Toc489624575"/>
      <w:bookmarkStart w:id="5" w:name="_Toc497143521"/>
      <w:r w:rsidRPr="00B3396B">
        <w:rPr>
          <w:rFonts w:ascii="Arial" w:hAnsi="Arial" w:cs="Arial"/>
          <w:sz w:val="28"/>
          <w:szCs w:val="28"/>
        </w:rPr>
        <w:lastRenderedPageBreak/>
        <w:t>Appendix B – Bid Protest Policy</w:t>
      </w:r>
      <w:bookmarkEnd w:id="4"/>
      <w:bookmarkEnd w:id="5"/>
    </w:p>
    <w:p w14:paraId="5E9800F0" w14:textId="77777777" w:rsidR="00075F88" w:rsidRPr="00075F88" w:rsidRDefault="00075F88" w:rsidP="00075F88">
      <w:pPr>
        <w:jc w:val="both"/>
        <w:rPr>
          <w:rFonts w:cs="Arial"/>
          <w:color w:val="000000"/>
        </w:rPr>
      </w:pPr>
      <w:r w:rsidRPr="00075F88">
        <w:rPr>
          <w:rFonts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075F88" w:rsidRDefault="00075F88" w:rsidP="00075F88">
      <w:pPr>
        <w:shd w:val="solid" w:color="FFFFFF" w:fill="FFFFFF"/>
        <w:rPr>
          <w:rFonts w:cs="Arial"/>
          <w:b/>
          <w:bCs/>
          <w:color w:val="000000"/>
        </w:rPr>
      </w:pPr>
      <w:r w:rsidRPr="00075F88">
        <w:rPr>
          <w:rFonts w:cs="Arial"/>
          <w:b/>
          <w:bCs/>
          <w:color w:val="000000"/>
        </w:rPr>
        <w:t>Informal Complaints/Protests</w:t>
      </w:r>
    </w:p>
    <w:p w14:paraId="3AC86CF4" w14:textId="77777777" w:rsidR="00075F88" w:rsidRPr="00075F88" w:rsidRDefault="00075F88" w:rsidP="00075F88">
      <w:pPr>
        <w:shd w:val="solid" w:color="FFFFFF" w:fill="FFFFFF"/>
        <w:jc w:val="both"/>
        <w:rPr>
          <w:rFonts w:cs="Arial"/>
          <w:color w:val="000000"/>
        </w:rPr>
      </w:pPr>
      <w:r w:rsidRPr="00075F88">
        <w:rPr>
          <w:rFonts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075F88" w:rsidRDefault="00075F88" w:rsidP="00075F88">
      <w:pPr>
        <w:shd w:val="solid" w:color="FFFFFF" w:fill="FFFFFF"/>
        <w:jc w:val="both"/>
        <w:rPr>
          <w:rFonts w:cs="Arial"/>
          <w:color w:val="000000"/>
        </w:rPr>
      </w:pPr>
      <w:r w:rsidRPr="00075F88">
        <w:rPr>
          <w:rFonts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075F88" w:rsidRDefault="00075F88" w:rsidP="00075F88">
      <w:pPr>
        <w:shd w:val="solid" w:color="FFFFFF" w:fill="FFFFFF"/>
        <w:rPr>
          <w:rFonts w:cs="Arial"/>
          <w:b/>
          <w:bCs/>
          <w:color w:val="000000"/>
        </w:rPr>
      </w:pPr>
      <w:r w:rsidRPr="00075F88">
        <w:rPr>
          <w:rFonts w:cs="Arial"/>
          <w:b/>
          <w:bCs/>
          <w:color w:val="000000"/>
        </w:rPr>
        <w:t>Formal Written Protests</w:t>
      </w:r>
    </w:p>
    <w:p w14:paraId="0565A2C3" w14:textId="77777777" w:rsidR="00075F88" w:rsidRPr="00075F88" w:rsidRDefault="00075F88" w:rsidP="00075F88">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075F88" w:rsidRDefault="00075F88" w:rsidP="00075F88">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557FC612" w14:textId="77777777" w:rsidR="00075F88" w:rsidRPr="00075F88" w:rsidRDefault="00075F88" w:rsidP="00075F88">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21DE8BFD" w14:textId="77777777" w:rsidR="00075F88" w:rsidRPr="00075F88" w:rsidRDefault="00075F88" w:rsidP="00690DEB">
      <w:pPr>
        <w:numPr>
          <w:ilvl w:val="1"/>
          <w:numId w:val="69"/>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075F88" w:rsidRDefault="00075F88" w:rsidP="00690DEB">
      <w:pPr>
        <w:numPr>
          <w:ilvl w:val="1"/>
          <w:numId w:val="69"/>
        </w:numPr>
        <w:shd w:val="solid" w:color="FFFFFF" w:fill="FFFFFF"/>
        <w:tabs>
          <w:tab w:val="left" w:pos="-360"/>
        </w:tabs>
        <w:ind w:left="360"/>
        <w:jc w:val="both"/>
        <w:rPr>
          <w:rFonts w:cs="Arial"/>
          <w:color w:val="000000"/>
        </w:rPr>
      </w:pPr>
      <w:r w:rsidRPr="00075F88">
        <w:rPr>
          <w:rFonts w:cs="Arial"/>
          <w:color w:val="000000"/>
        </w:rPr>
        <w:t xml:space="preserve">Concerning Proposed Contract Award - Formal protests concerning a pending contract award must be received within five (5) business days after the protesting party (“protester”) knows or should have </w:t>
      </w:r>
      <w:r w:rsidRPr="00075F88">
        <w:rPr>
          <w:rFonts w:cs="Arial"/>
          <w:color w:val="000000"/>
        </w:rPr>
        <w:lastRenderedPageBreak/>
        <w:t>known of the facts which form the basis of the protest, and, where State Finance Law § 112 approval is required, prior to final approval of the recommendation by the State Comptroller.</w:t>
      </w:r>
    </w:p>
    <w:p w14:paraId="1BDE7458" w14:textId="77777777" w:rsidR="00075F88" w:rsidRPr="00075F88" w:rsidRDefault="00075F88" w:rsidP="00075F88">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Transmittal</w:t>
      </w:r>
    </w:p>
    <w:p w14:paraId="40220725"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  “Bid Protest of DTF Solicitation (Reference Number).”</w:t>
      </w:r>
    </w:p>
    <w:p w14:paraId="7478F29A"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5EFFE7D1"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1A6D3018"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69DAC329"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a description of all remedies or relief requested;  and</w:t>
      </w:r>
    </w:p>
    <w:p w14:paraId="087DEFD0"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copies of all applicable supporting documentation.</w:t>
      </w:r>
    </w:p>
    <w:p w14:paraId="6265B1F6"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 RFP.</w:t>
      </w:r>
    </w:p>
    <w:p w14:paraId="72691B6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454E4ED6"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Services Unit, Office of Budget and Management Analysis and appropriate program staff.</w:t>
      </w:r>
    </w:p>
    <w:p w14:paraId="68333597"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w:t>
      </w:r>
      <w:r w:rsidRPr="00075F88">
        <w:rPr>
          <w:rFonts w:cs="Arial"/>
          <w:color w:val="000000"/>
        </w:rPr>
        <w:lastRenderedPageBreak/>
        <w:t>Procurement Record, or otherwise forwarded to OSC upon issue.  The decision of the Chief Financial Officer of the Office of Budget and Management Analysis will be final.</w:t>
      </w:r>
    </w:p>
    <w:p w14:paraId="6486CB11"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2229314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344CDED7" w14:textId="77777777" w:rsidR="00075F88" w:rsidRPr="00075F88" w:rsidRDefault="00075F88" w:rsidP="00075F88">
      <w:pPr>
        <w:jc w:val="both"/>
        <w:rPr>
          <w:rFonts w:cs="Arial"/>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1A59F2FD" w14:textId="77777777" w:rsidR="00075F88" w:rsidRDefault="00075F88" w:rsidP="007A54E0">
      <w:pPr>
        <w:rPr>
          <w:sz w:val="20"/>
          <w:szCs w:val="20"/>
        </w:rPr>
        <w:sectPr w:rsidR="00075F88" w:rsidSect="00AD79FF">
          <w:headerReference w:type="even" r:id="rId22"/>
          <w:headerReference w:type="first" r:id="rId23"/>
          <w:pgSz w:w="12240" w:h="15840"/>
          <w:pgMar w:top="1440" w:right="1440" w:bottom="1440" w:left="1440" w:header="360" w:footer="360" w:gutter="0"/>
          <w:cols w:space="720"/>
          <w:docGrid w:linePitch="360"/>
        </w:sectPr>
      </w:pPr>
    </w:p>
    <w:p w14:paraId="07CB9CF8" w14:textId="77777777" w:rsidR="00075F88" w:rsidRPr="00075F88" w:rsidRDefault="00075F88" w:rsidP="00075F88">
      <w:pPr>
        <w:pStyle w:val="Heading1"/>
        <w:jc w:val="center"/>
        <w:rPr>
          <w:rFonts w:ascii="Arial" w:hAnsi="Arial" w:cs="Arial"/>
          <w:sz w:val="28"/>
          <w:szCs w:val="28"/>
          <w:lang w:val="en-US"/>
        </w:rPr>
      </w:pPr>
      <w:bookmarkStart w:id="6" w:name="_Toc497143522"/>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6"/>
    </w:p>
    <w:p w14:paraId="29518D64" w14:textId="77777777" w:rsidR="00075F88" w:rsidRPr="00B3396B" w:rsidRDefault="00075F88" w:rsidP="00075F8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7020"/>
      </w:tblGrid>
      <w:tr w:rsidR="00075F88" w:rsidRPr="00B3396B" w14:paraId="3BC8F5CB" w14:textId="77777777" w:rsidTr="00AD79FF">
        <w:trPr>
          <w:trHeight w:val="557"/>
          <w:tblHeader/>
        </w:trPr>
        <w:tc>
          <w:tcPr>
            <w:tcW w:w="2330" w:type="dxa"/>
            <w:shd w:val="pct15" w:color="auto" w:fill="auto"/>
          </w:tcPr>
          <w:p w14:paraId="38AA111E" w14:textId="77777777" w:rsidR="00075F88" w:rsidRPr="005F4DCE" w:rsidRDefault="00075F88" w:rsidP="00AD79FF">
            <w:pPr>
              <w:spacing w:before="240"/>
              <w:jc w:val="center"/>
              <w:rPr>
                <w:rFonts w:cs="Calibri"/>
                <w:b/>
              </w:rPr>
            </w:pPr>
            <w:r w:rsidRPr="005F4DCE">
              <w:rPr>
                <w:rFonts w:cs="Calibri"/>
                <w:b/>
              </w:rPr>
              <w:t>Term</w:t>
            </w:r>
          </w:p>
        </w:tc>
        <w:tc>
          <w:tcPr>
            <w:tcW w:w="7020" w:type="dxa"/>
            <w:shd w:val="pct15" w:color="auto" w:fill="auto"/>
          </w:tcPr>
          <w:p w14:paraId="6F5F72EE" w14:textId="77777777" w:rsidR="00075F88" w:rsidRPr="005F4DCE" w:rsidRDefault="00075F88" w:rsidP="00AD79FF">
            <w:pPr>
              <w:spacing w:before="240"/>
              <w:jc w:val="center"/>
              <w:rPr>
                <w:rFonts w:cs="Calibri"/>
                <w:b/>
              </w:rPr>
            </w:pPr>
            <w:r w:rsidRPr="005F4DCE">
              <w:rPr>
                <w:rFonts w:cs="Calibri"/>
                <w:b/>
              </w:rPr>
              <w:t>Definition</w:t>
            </w:r>
          </w:p>
        </w:tc>
      </w:tr>
      <w:tr w:rsidR="00075F88" w:rsidRPr="00B3396B" w14:paraId="38D2C946" w14:textId="77777777" w:rsidTr="00AD79FF">
        <w:tc>
          <w:tcPr>
            <w:tcW w:w="2330" w:type="dxa"/>
            <w:shd w:val="clear" w:color="auto" w:fill="auto"/>
          </w:tcPr>
          <w:p w14:paraId="278A44CA" w14:textId="77777777" w:rsidR="00075F88" w:rsidRPr="005F4DCE" w:rsidRDefault="00075F88" w:rsidP="00AD79FF">
            <w:pPr>
              <w:spacing w:before="240"/>
              <w:rPr>
                <w:rFonts w:cs="Calibri"/>
                <w:b/>
              </w:rPr>
            </w:pPr>
            <w:r w:rsidRPr="005F4DCE">
              <w:rPr>
                <w:rFonts w:cs="Calibri"/>
                <w:b/>
              </w:rPr>
              <w:t>Attorney General (AG)</w:t>
            </w:r>
          </w:p>
        </w:tc>
        <w:tc>
          <w:tcPr>
            <w:tcW w:w="7020" w:type="dxa"/>
            <w:shd w:val="clear" w:color="auto" w:fill="auto"/>
          </w:tcPr>
          <w:p w14:paraId="7E7DBD44" w14:textId="22699841" w:rsidR="00075F88" w:rsidRPr="005F4DCE" w:rsidRDefault="00075F88" w:rsidP="00AD79FF">
            <w:pPr>
              <w:spacing w:before="240"/>
              <w:rPr>
                <w:rFonts w:cs="Calibri"/>
              </w:rPr>
            </w:pPr>
            <w:r w:rsidRPr="005F4DCE">
              <w:rPr>
                <w:rFonts w:cs="Calibri"/>
              </w:rPr>
              <w:t>Attorney General of the State of New York</w:t>
            </w:r>
            <w:r w:rsidR="000D2FB6">
              <w:rPr>
                <w:rFonts w:cs="Calibri"/>
              </w:rPr>
              <w:t>.</w:t>
            </w:r>
          </w:p>
        </w:tc>
      </w:tr>
      <w:tr w:rsidR="00075F88" w:rsidRPr="00B3396B" w14:paraId="38D99A02" w14:textId="77777777" w:rsidTr="00AD79FF">
        <w:tc>
          <w:tcPr>
            <w:tcW w:w="2330" w:type="dxa"/>
            <w:shd w:val="clear" w:color="auto" w:fill="auto"/>
          </w:tcPr>
          <w:p w14:paraId="098047BE" w14:textId="77777777" w:rsidR="00075F88" w:rsidRPr="005F4DCE" w:rsidRDefault="00075F88" w:rsidP="00AD79FF">
            <w:pPr>
              <w:spacing w:before="240"/>
              <w:rPr>
                <w:rFonts w:cs="Calibri"/>
                <w:b/>
              </w:rPr>
            </w:pPr>
            <w:r w:rsidRPr="005F4DCE">
              <w:rPr>
                <w:rFonts w:cs="Calibri"/>
                <w:b/>
              </w:rPr>
              <w:t>Agreement</w:t>
            </w:r>
          </w:p>
        </w:tc>
        <w:tc>
          <w:tcPr>
            <w:tcW w:w="7020" w:type="dxa"/>
            <w:shd w:val="clear" w:color="auto" w:fill="auto"/>
          </w:tcPr>
          <w:p w14:paraId="194CF82D" w14:textId="77777777" w:rsidR="00075F88" w:rsidRPr="005F4DCE" w:rsidRDefault="00075F88" w:rsidP="00AD79FF">
            <w:pPr>
              <w:spacing w:before="240"/>
              <w:rPr>
                <w:rFonts w:cs="Calibri"/>
              </w:rPr>
            </w:pPr>
            <w:r w:rsidRPr="005F4DCE">
              <w:rPr>
                <w:rFonts w:cs="Calibri"/>
              </w:rPr>
              <w:t>The Contract which results from the award of this Request for Proposals.</w:t>
            </w:r>
          </w:p>
        </w:tc>
      </w:tr>
      <w:tr w:rsidR="00075F88" w:rsidRPr="00B3396B" w14:paraId="2B667085" w14:textId="77777777" w:rsidTr="00AD79FF">
        <w:tc>
          <w:tcPr>
            <w:tcW w:w="2330" w:type="dxa"/>
            <w:shd w:val="clear" w:color="auto" w:fill="auto"/>
          </w:tcPr>
          <w:p w14:paraId="0EF61965" w14:textId="0B0CF0E4" w:rsidR="00075F88" w:rsidRPr="005F4DCE" w:rsidRDefault="00075F88" w:rsidP="00AD79FF">
            <w:pPr>
              <w:spacing w:before="240"/>
              <w:rPr>
                <w:rFonts w:cs="Calibri"/>
                <w:b/>
              </w:rPr>
            </w:pPr>
            <w:r w:rsidRPr="005F4DCE">
              <w:rPr>
                <w:rFonts w:cs="Calibri"/>
                <w:b/>
              </w:rPr>
              <w:t>Bid or Proposal</w:t>
            </w:r>
          </w:p>
        </w:tc>
        <w:tc>
          <w:tcPr>
            <w:tcW w:w="7020" w:type="dxa"/>
            <w:shd w:val="clear" w:color="auto" w:fill="auto"/>
          </w:tcPr>
          <w:p w14:paraId="1238E2EE" w14:textId="77777777" w:rsidR="00075F88" w:rsidRPr="005F4DCE" w:rsidRDefault="00075F88" w:rsidP="00AD79FF">
            <w:pPr>
              <w:spacing w:before="240"/>
              <w:rPr>
                <w:rFonts w:cs="Calibri"/>
              </w:rPr>
            </w:pPr>
            <w:r w:rsidRPr="005F4DCE">
              <w:rPr>
                <w:rFonts w:cs="Calibri"/>
              </w:rPr>
              <w:t>An offer of proposal by a Bidder to furnish a described product or a solution, perform services or means of achieving a practical end, at a stated price for the stated Contract term.</w:t>
            </w:r>
          </w:p>
        </w:tc>
      </w:tr>
      <w:tr w:rsidR="00075F88" w:rsidRPr="00B3396B" w14:paraId="112E0F38" w14:textId="77777777" w:rsidTr="00AD79FF">
        <w:tc>
          <w:tcPr>
            <w:tcW w:w="2330" w:type="dxa"/>
            <w:shd w:val="clear" w:color="auto" w:fill="auto"/>
          </w:tcPr>
          <w:p w14:paraId="13F770AA" w14:textId="77777777" w:rsidR="00075F88" w:rsidRPr="005F4DCE" w:rsidRDefault="00075F88" w:rsidP="00AD79FF">
            <w:pPr>
              <w:spacing w:before="240"/>
              <w:rPr>
                <w:rFonts w:cs="Calibri"/>
                <w:b/>
              </w:rPr>
            </w:pPr>
            <w:r w:rsidRPr="005F4DCE">
              <w:rPr>
                <w:rFonts w:cs="Calibri"/>
                <w:b/>
              </w:rPr>
              <w:t>Bidder/Offerer</w:t>
            </w:r>
          </w:p>
        </w:tc>
        <w:tc>
          <w:tcPr>
            <w:tcW w:w="7020" w:type="dxa"/>
            <w:shd w:val="clear" w:color="auto" w:fill="auto"/>
          </w:tcPr>
          <w:p w14:paraId="16A9F523" w14:textId="77777777" w:rsidR="00075F88" w:rsidRPr="005F4DCE" w:rsidRDefault="00075F88" w:rsidP="00AD79FF">
            <w:pPr>
              <w:spacing w:before="240"/>
              <w:rPr>
                <w:rFonts w:cs="Calibri"/>
              </w:rPr>
            </w:pPr>
            <w:r w:rsidRPr="005F4DCE">
              <w:rPr>
                <w:rFonts w:cs="Calibri"/>
              </w:rPr>
              <w:t>An entity submitting a bid in response to this RFP.</w:t>
            </w:r>
          </w:p>
        </w:tc>
      </w:tr>
      <w:tr w:rsidR="00690DEB" w:rsidRPr="00B3396B" w14:paraId="4E1C556E" w14:textId="77777777" w:rsidTr="00AD79FF">
        <w:tc>
          <w:tcPr>
            <w:tcW w:w="2330" w:type="dxa"/>
            <w:shd w:val="clear" w:color="auto" w:fill="auto"/>
          </w:tcPr>
          <w:p w14:paraId="2610C242" w14:textId="6C288C48" w:rsidR="00690DEB" w:rsidRPr="009614A2" w:rsidRDefault="00690DEB" w:rsidP="00AD79FF">
            <w:pPr>
              <w:spacing w:before="240"/>
              <w:rPr>
                <w:rFonts w:cs="Calibri"/>
                <w:b/>
              </w:rPr>
            </w:pPr>
            <w:r>
              <w:rPr>
                <w:rFonts w:cs="Calibri"/>
                <w:b/>
              </w:rPr>
              <w:t>Commissioner</w:t>
            </w:r>
          </w:p>
        </w:tc>
        <w:tc>
          <w:tcPr>
            <w:tcW w:w="7020" w:type="dxa"/>
            <w:shd w:val="clear" w:color="auto" w:fill="auto"/>
          </w:tcPr>
          <w:p w14:paraId="6BF9180B" w14:textId="334B6D75" w:rsidR="00690DEB" w:rsidRPr="009614A2" w:rsidRDefault="00690DEB" w:rsidP="00AD79FF">
            <w:pPr>
              <w:spacing w:before="240"/>
              <w:jc w:val="both"/>
              <w:rPr>
                <w:rFonts w:cs="Calibri"/>
              </w:rPr>
            </w:pPr>
            <w:r>
              <w:rPr>
                <w:rFonts w:cs="Calibri"/>
              </w:rPr>
              <w:t>The Commissioner of the New York State Department of Taxation and Finance.</w:t>
            </w:r>
          </w:p>
        </w:tc>
      </w:tr>
      <w:tr w:rsidR="00075F88" w:rsidRPr="00B3396B" w14:paraId="20F16F65" w14:textId="77777777" w:rsidTr="00AD79FF">
        <w:tc>
          <w:tcPr>
            <w:tcW w:w="2330" w:type="dxa"/>
            <w:shd w:val="clear" w:color="auto" w:fill="auto"/>
          </w:tcPr>
          <w:p w14:paraId="2F0A801B" w14:textId="77777777" w:rsidR="00075F88" w:rsidRPr="005F4DCE" w:rsidRDefault="00075F88" w:rsidP="00AD79FF">
            <w:pPr>
              <w:spacing w:before="240"/>
              <w:rPr>
                <w:rFonts w:cs="Calibri"/>
                <w:b/>
              </w:rPr>
            </w:pPr>
            <w:r w:rsidRPr="009614A2">
              <w:rPr>
                <w:rFonts w:cs="Calibri"/>
                <w:b/>
              </w:rPr>
              <w:t>Comptroller (OSC)</w:t>
            </w:r>
          </w:p>
        </w:tc>
        <w:tc>
          <w:tcPr>
            <w:tcW w:w="7020" w:type="dxa"/>
            <w:shd w:val="clear" w:color="auto" w:fill="auto"/>
          </w:tcPr>
          <w:p w14:paraId="40E15E74" w14:textId="77777777" w:rsidR="00075F88" w:rsidRPr="005F4DCE" w:rsidRDefault="00075F88" w:rsidP="00AD79FF">
            <w:pPr>
              <w:spacing w:before="240"/>
              <w:jc w:val="both"/>
              <w:rPr>
                <w:rFonts w:cs="Calibri"/>
              </w:rPr>
            </w:pPr>
            <w:r w:rsidRPr="009614A2">
              <w:rPr>
                <w:rFonts w:cs="Calibri"/>
              </w:rPr>
              <w:t>The New York State Office of the State Comptroller</w:t>
            </w:r>
            <w:r>
              <w:rPr>
                <w:rFonts w:cs="Calibri"/>
              </w:rPr>
              <w:t>.</w:t>
            </w:r>
          </w:p>
        </w:tc>
      </w:tr>
      <w:tr w:rsidR="00075F88" w:rsidRPr="00B3396B" w14:paraId="63AD51CC" w14:textId="77777777" w:rsidTr="00AD79FF">
        <w:tc>
          <w:tcPr>
            <w:tcW w:w="2330" w:type="dxa"/>
            <w:shd w:val="clear" w:color="auto" w:fill="auto"/>
          </w:tcPr>
          <w:p w14:paraId="694B34B4" w14:textId="77777777" w:rsidR="00075F88" w:rsidRPr="005F4DCE" w:rsidRDefault="00075F88" w:rsidP="00AD79FF">
            <w:pPr>
              <w:spacing w:before="240"/>
              <w:rPr>
                <w:rFonts w:cs="Calibri"/>
                <w:b/>
              </w:rPr>
            </w:pPr>
            <w:r w:rsidRPr="005F4DCE">
              <w:rPr>
                <w:rFonts w:cs="Calibri"/>
                <w:b/>
              </w:rPr>
              <w:t>Contractor</w:t>
            </w:r>
          </w:p>
        </w:tc>
        <w:tc>
          <w:tcPr>
            <w:tcW w:w="7020" w:type="dxa"/>
            <w:shd w:val="clear" w:color="auto" w:fill="auto"/>
          </w:tcPr>
          <w:p w14:paraId="0531D461" w14:textId="77777777" w:rsidR="00075F88" w:rsidRPr="005F4DCE" w:rsidRDefault="00075F88" w:rsidP="00AD79FF">
            <w:pPr>
              <w:spacing w:before="240"/>
              <w:jc w:val="both"/>
              <w:rPr>
                <w:rFonts w:cs="Calibri"/>
              </w:rPr>
            </w:pPr>
            <w:r w:rsidRPr="005F4DCE">
              <w:rPr>
                <w:rFonts w:cs="Calibri"/>
              </w:rPr>
              <w:t>A Bidder to whom a contract is awarded as a result of this RFP.</w:t>
            </w:r>
          </w:p>
        </w:tc>
      </w:tr>
      <w:tr w:rsidR="00075F88" w:rsidRPr="00B3396B" w14:paraId="7DEAE567" w14:textId="77777777" w:rsidTr="00AD79FF">
        <w:tc>
          <w:tcPr>
            <w:tcW w:w="2330" w:type="dxa"/>
            <w:shd w:val="clear" w:color="auto" w:fill="auto"/>
          </w:tcPr>
          <w:p w14:paraId="0B27E0AB" w14:textId="77777777" w:rsidR="00075F88" w:rsidRPr="005F4DCE" w:rsidRDefault="00075F88" w:rsidP="00AD79FF">
            <w:pPr>
              <w:spacing w:before="240"/>
              <w:rPr>
                <w:rFonts w:cs="Calibri"/>
                <w:b/>
              </w:rPr>
            </w:pPr>
            <w:r w:rsidRPr="005F4DCE">
              <w:rPr>
                <w:rFonts w:cs="Calibri"/>
                <w:b/>
              </w:rPr>
              <w:t>Debt</w:t>
            </w:r>
          </w:p>
        </w:tc>
        <w:tc>
          <w:tcPr>
            <w:tcW w:w="7020" w:type="dxa"/>
            <w:shd w:val="clear" w:color="auto" w:fill="auto"/>
          </w:tcPr>
          <w:p w14:paraId="13E2C6A2"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 xml:space="preserve">Defined in NYS Tax Law, Article 36 §1701 as </w:t>
            </w:r>
            <w:r w:rsidRPr="002E79D5">
              <w:rPr>
                <w:rFonts w:cs="Arial"/>
                <w:szCs w:val="20"/>
              </w:rPr>
              <w:t>mean</w:t>
            </w:r>
            <w:r>
              <w:rPr>
                <w:rFonts w:cs="Arial"/>
                <w:szCs w:val="20"/>
              </w:rPr>
              <w:t>ing</w:t>
            </w:r>
            <w:r w:rsidRPr="002E79D5">
              <w:rPr>
                <w:rFonts w:cs="Arial"/>
                <w:szCs w:val="20"/>
              </w:rPr>
              <w:t xml:space="preserve"> all liabilities, including unpaid tax, interest, and penalty, that the Commissioner is required by law to collect and that have been reduced to judgment by </w:t>
            </w:r>
            <w:r>
              <w:rPr>
                <w:rFonts w:cs="Arial"/>
                <w:szCs w:val="20"/>
              </w:rPr>
              <w:t>t</w:t>
            </w:r>
            <w:r w:rsidRPr="002E79D5">
              <w:rPr>
                <w:rFonts w:cs="Arial"/>
                <w:szCs w:val="20"/>
              </w:rPr>
              <w:t>he docketing of a New York State tax warrant in the office of a county clerk located in the State of New York or by the filing of a copy of the warrant in the office of the Department of State.</w:t>
            </w:r>
          </w:p>
        </w:tc>
      </w:tr>
      <w:tr w:rsidR="00075F88" w:rsidRPr="00B3396B" w14:paraId="3DE40D34" w14:textId="77777777" w:rsidTr="00AD79FF">
        <w:tc>
          <w:tcPr>
            <w:tcW w:w="2330" w:type="dxa"/>
            <w:shd w:val="clear" w:color="auto" w:fill="auto"/>
          </w:tcPr>
          <w:p w14:paraId="376F953B" w14:textId="77777777" w:rsidR="00075F88" w:rsidRPr="005F4DCE" w:rsidRDefault="00075F88" w:rsidP="00AD79FF">
            <w:pPr>
              <w:spacing w:before="240"/>
              <w:rPr>
                <w:rFonts w:cs="Calibri"/>
                <w:b/>
              </w:rPr>
            </w:pPr>
            <w:r w:rsidRPr="005F4DCE">
              <w:rPr>
                <w:rFonts w:cs="Calibri"/>
                <w:b/>
              </w:rPr>
              <w:t>Department (DTF)</w:t>
            </w:r>
          </w:p>
        </w:tc>
        <w:tc>
          <w:tcPr>
            <w:tcW w:w="7020" w:type="dxa"/>
            <w:shd w:val="clear" w:color="auto" w:fill="auto"/>
          </w:tcPr>
          <w:p w14:paraId="4EBCD92A" w14:textId="77777777" w:rsidR="00075F88" w:rsidRPr="005F4DCE" w:rsidRDefault="00075F88" w:rsidP="00AD79FF">
            <w:pPr>
              <w:spacing w:before="240"/>
              <w:jc w:val="both"/>
              <w:rPr>
                <w:rFonts w:cs="Calibri"/>
              </w:rPr>
            </w:pPr>
            <w:r w:rsidRPr="005F4DCE">
              <w:rPr>
                <w:rFonts w:cs="Calibri"/>
              </w:rPr>
              <w:t>The New York State Department of Taxation and Finance.</w:t>
            </w:r>
          </w:p>
        </w:tc>
      </w:tr>
      <w:tr w:rsidR="00075F88" w:rsidRPr="00B3396B" w14:paraId="5DB1F81C" w14:textId="77777777" w:rsidTr="00AD79FF">
        <w:tc>
          <w:tcPr>
            <w:tcW w:w="2330" w:type="dxa"/>
            <w:shd w:val="clear" w:color="auto" w:fill="auto"/>
          </w:tcPr>
          <w:p w14:paraId="19EEA7DA" w14:textId="77777777" w:rsidR="00075F88" w:rsidRPr="005F4DCE" w:rsidRDefault="00075F88" w:rsidP="00AD79FF">
            <w:pPr>
              <w:spacing w:before="240"/>
              <w:rPr>
                <w:rFonts w:cs="Calibri"/>
                <w:b/>
              </w:rPr>
            </w:pPr>
            <w:r w:rsidRPr="005F4DCE">
              <w:rPr>
                <w:rFonts w:cs="Calibri"/>
                <w:b/>
              </w:rPr>
              <w:t>FIDM</w:t>
            </w:r>
          </w:p>
        </w:tc>
        <w:tc>
          <w:tcPr>
            <w:tcW w:w="7020" w:type="dxa"/>
            <w:shd w:val="clear" w:color="auto" w:fill="auto"/>
          </w:tcPr>
          <w:p w14:paraId="73AA0C97" w14:textId="69734031" w:rsidR="00075F88" w:rsidRPr="005F4DCE" w:rsidRDefault="00075F88" w:rsidP="00AD79FF">
            <w:pPr>
              <w:spacing w:before="240"/>
              <w:rPr>
                <w:rFonts w:cs="Calibri"/>
              </w:rPr>
            </w:pPr>
            <w:r w:rsidRPr="005F4DCE">
              <w:rPr>
                <w:rFonts w:cs="Calibri"/>
              </w:rPr>
              <w:t>Financial Institution Data Match</w:t>
            </w:r>
            <w:r w:rsidR="00690DEB">
              <w:rPr>
                <w:rFonts w:cs="Calibri"/>
              </w:rPr>
              <w:t>.</w:t>
            </w:r>
          </w:p>
        </w:tc>
      </w:tr>
      <w:tr w:rsidR="00075F88" w:rsidRPr="00B3396B" w14:paraId="1451A167" w14:textId="77777777" w:rsidTr="00AD79FF">
        <w:tc>
          <w:tcPr>
            <w:tcW w:w="2330" w:type="dxa"/>
            <w:shd w:val="clear" w:color="auto" w:fill="auto"/>
          </w:tcPr>
          <w:p w14:paraId="0F8842BC" w14:textId="77777777" w:rsidR="00075F88" w:rsidRPr="005F4DCE" w:rsidRDefault="00075F88" w:rsidP="00AD79FF">
            <w:pPr>
              <w:spacing w:before="240"/>
              <w:rPr>
                <w:rFonts w:cs="Calibri"/>
                <w:b/>
              </w:rPr>
            </w:pPr>
            <w:r w:rsidRPr="005F4DCE">
              <w:rPr>
                <w:rFonts w:cs="Calibri"/>
                <w:b/>
              </w:rPr>
              <w:t>Financial Institutions</w:t>
            </w:r>
            <w:r>
              <w:rPr>
                <w:rFonts w:cs="Calibri"/>
                <w:b/>
              </w:rPr>
              <w:t xml:space="preserve"> (FI)</w:t>
            </w:r>
          </w:p>
        </w:tc>
        <w:tc>
          <w:tcPr>
            <w:tcW w:w="7020" w:type="dxa"/>
            <w:shd w:val="clear" w:color="auto" w:fill="auto"/>
          </w:tcPr>
          <w:p w14:paraId="7974E3BC" w14:textId="0FE41626" w:rsidR="00075F88" w:rsidRPr="005F4DCE" w:rsidRDefault="00075F88" w:rsidP="00AD79FF">
            <w:pPr>
              <w:spacing w:before="240"/>
              <w:jc w:val="both"/>
              <w:rPr>
                <w:rFonts w:cs="Calibri"/>
              </w:rPr>
            </w:pPr>
            <w:r w:rsidRPr="005F4DCE">
              <w:rPr>
                <w:rFonts w:cs="Calibri"/>
              </w:rPr>
              <w:t xml:space="preserve">Defined </w:t>
            </w:r>
            <w:r>
              <w:rPr>
                <w:rFonts w:cs="Arial"/>
                <w:szCs w:val="20"/>
              </w:rPr>
              <w:t xml:space="preserve">under Sections 466(a)(17)(D)(i) and 469(A)(d)(i) of the federal Social Security </w:t>
            </w:r>
            <w:r w:rsidRPr="00B500F2">
              <w:rPr>
                <w:rFonts w:cs="Arial"/>
                <w:szCs w:val="20"/>
              </w:rPr>
              <w:t>Act and Section 111-o</w:t>
            </w:r>
            <w:r>
              <w:rPr>
                <w:rFonts w:cs="Arial"/>
                <w:szCs w:val="20"/>
              </w:rPr>
              <w:t xml:space="preserve"> of the New York State Social Services Law, </w:t>
            </w:r>
            <w:r>
              <w:rPr>
                <w:rFonts w:cs="Arial"/>
                <w:szCs w:val="20"/>
              </w:rPr>
              <w:lastRenderedPageBreak/>
              <w:t xml:space="preserve">include banks and savings associations, Federal and State credit unions, institution-affiliated parties as defined in Section 3(u) of the federal Deposit Insurance Act (12 U.S.C.  1813(u)), benefit associations, insurance companies, safe deposit companies, money-market mutual funds or similar entities authorized to do business in the </w:t>
            </w:r>
            <w:r w:rsidR="00690DEB">
              <w:rPr>
                <w:rFonts w:cs="Arial"/>
                <w:szCs w:val="20"/>
              </w:rPr>
              <w:t>S</w:t>
            </w:r>
            <w:r>
              <w:rPr>
                <w:rFonts w:cs="Arial"/>
                <w:szCs w:val="20"/>
              </w:rPr>
              <w:t>tate.</w:t>
            </w:r>
          </w:p>
        </w:tc>
      </w:tr>
      <w:tr w:rsidR="00075F88" w:rsidRPr="00B3396B" w14:paraId="57EF1150" w14:textId="77777777" w:rsidTr="00AD79FF">
        <w:tc>
          <w:tcPr>
            <w:tcW w:w="2330" w:type="dxa"/>
            <w:shd w:val="clear" w:color="auto" w:fill="auto"/>
          </w:tcPr>
          <w:p w14:paraId="1AA9BADF" w14:textId="77777777" w:rsidR="00075F88" w:rsidRPr="005F4DCE" w:rsidRDefault="00075F88" w:rsidP="00AD79FF">
            <w:pPr>
              <w:spacing w:before="240"/>
              <w:rPr>
                <w:rFonts w:cs="Calibri"/>
                <w:b/>
              </w:rPr>
            </w:pPr>
            <w:r w:rsidRPr="005F4DCE">
              <w:rPr>
                <w:rFonts w:cs="Calibri"/>
                <w:b/>
              </w:rPr>
              <w:lastRenderedPageBreak/>
              <w:t>Large-Scale Data Matching</w:t>
            </w:r>
          </w:p>
        </w:tc>
        <w:tc>
          <w:tcPr>
            <w:tcW w:w="7020" w:type="dxa"/>
            <w:shd w:val="clear" w:color="auto" w:fill="auto"/>
          </w:tcPr>
          <w:p w14:paraId="7C72B74D" w14:textId="2359487A" w:rsidR="00075F88" w:rsidRPr="005F4DCE" w:rsidRDefault="00075F88" w:rsidP="00AD79FF">
            <w:pPr>
              <w:spacing w:before="240"/>
              <w:jc w:val="both"/>
              <w:rPr>
                <w:rFonts w:cs="Calibri"/>
              </w:rPr>
            </w:pPr>
            <w:r>
              <w:rPr>
                <w:rFonts w:cs="Arial"/>
                <w:bCs/>
                <w:szCs w:val="20"/>
              </w:rPr>
              <w:t>B</w:t>
            </w:r>
            <w:r w:rsidRPr="00B5023E">
              <w:rPr>
                <w:rFonts w:cs="Arial"/>
                <w:bCs/>
                <w:szCs w:val="20"/>
              </w:rPr>
              <w:t>idders providing electronic data matching services for a single client which involves matching a large volume of data (</w:t>
            </w:r>
            <w:r>
              <w:rPr>
                <w:rFonts w:cs="Arial"/>
                <w:bCs/>
                <w:szCs w:val="20"/>
              </w:rPr>
              <w:t xml:space="preserve">more than </w:t>
            </w:r>
            <w:r w:rsidR="00252046">
              <w:rPr>
                <w:rFonts w:cs="Arial"/>
                <w:bCs/>
                <w:szCs w:val="20"/>
              </w:rPr>
              <w:t>500,000</w:t>
            </w:r>
            <w:r w:rsidR="00C13BF3">
              <w:rPr>
                <w:rFonts w:cs="Arial"/>
                <w:bCs/>
                <w:szCs w:val="20"/>
              </w:rPr>
              <w:t xml:space="preserve"> records</w:t>
            </w:r>
            <w:r w:rsidRPr="00B5023E">
              <w:rPr>
                <w:rFonts w:cs="Arial"/>
                <w:bCs/>
                <w:szCs w:val="20"/>
              </w:rPr>
              <w:t>) from multiple (</w:t>
            </w:r>
            <w:r>
              <w:rPr>
                <w:rFonts w:cs="Arial"/>
                <w:bCs/>
                <w:szCs w:val="20"/>
              </w:rPr>
              <w:t xml:space="preserve">more than </w:t>
            </w:r>
            <w:r w:rsidR="00252046">
              <w:rPr>
                <w:rFonts w:cs="Arial"/>
                <w:bCs/>
                <w:szCs w:val="20"/>
              </w:rPr>
              <w:t>100</w:t>
            </w:r>
            <w:r w:rsidRPr="00B5023E">
              <w:rPr>
                <w:rFonts w:cs="Arial"/>
                <w:bCs/>
                <w:szCs w:val="20"/>
              </w:rPr>
              <w:t>) entities that are separate and distinct, such as those with different management structures and/or IT systems, networks and/or media.</w:t>
            </w:r>
          </w:p>
        </w:tc>
      </w:tr>
      <w:tr w:rsidR="00075F88" w:rsidRPr="00B3396B" w14:paraId="2E8BA838" w14:textId="77777777" w:rsidTr="00AD79FF">
        <w:tc>
          <w:tcPr>
            <w:tcW w:w="2330" w:type="dxa"/>
            <w:shd w:val="clear" w:color="auto" w:fill="auto"/>
          </w:tcPr>
          <w:p w14:paraId="09780C26" w14:textId="77777777" w:rsidR="00075F88" w:rsidRPr="005F4DCE" w:rsidRDefault="007E4402" w:rsidP="00AD79FF">
            <w:pPr>
              <w:spacing w:before="240"/>
              <w:rPr>
                <w:rFonts w:cs="Calibri"/>
                <w:b/>
              </w:rPr>
            </w:pPr>
            <w:r>
              <w:rPr>
                <w:rFonts w:cs="Calibri"/>
                <w:b/>
              </w:rPr>
              <w:t>Request for Proposals (RFP)</w:t>
            </w:r>
          </w:p>
        </w:tc>
        <w:tc>
          <w:tcPr>
            <w:tcW w:w="7020" w:type="dxa"/>
            <w:shd w:val="clear" w:color="auto" w:fill="auto"/>
          </w:tcPr>
          <w:p w14:paraId="5D76B85D" w14:textId="77777777" w:rsidR="00075F88" w:rsidRPr="005F4DCE" w:rsidRDefault="00075F88" w:rsidP="00AD79FF">
            <w:pPr>
              <w:spacing w:before="240"/>
              <w:rPr>
                <w:rFonts w:cs="Calibri"/>
              </w:rPr>
            </w:pPr>
            <w:r>
              <w:rPr>
                <w:rFonts w:cs="Arial"/>
                <w:szCs w:val="20"/>
              </w:rPr>
              <w:t>A type of Bid Document that is used for procurements where factors in addition to cost are considered and weighted in awarding the contract and where the method of award is “best value,” as defined by the State Finance Law.</w:t>
            </w:r>
          </w:p>
        </w:tc>
      </w:tr>
      <w:tr w:rsidR="00075F88" w:rsidRPr="00B3396B" w14:paraId="2E47F592" w14:textId="77777777" w:rsidTr="00AD79FF">
        <w:tc>
          <w:tcPr>
            <w:tcW w:w="2330" w:type="dxa"/>
            <w:shd w:val="clear" w:color="auto" w:fill="auto"/>
          </w:tcPr>
          <w:p w14:paraId="3EC13D6B" w14:textId="77777777" w:rsidR="00075F88" w:rsidRPr="005F4DCE" w:rsidRDefault="00075F88" w:rsidP="00AD79FF">
            <w:pPr>
              <w:spacing w:before="240"/>
              <w:rPr>
                <w:rFonts w:cs="Calibri"/>
                <w:b/>
              </w:rPr>
            </w:pPr>
            <w:r w:rsidRPr="005F4DCE">
              <w:rPr>
                <w:rFonts w:cs="Calibri"/>
                <w:b/>
              </w:rPr>
              <w:t>Responsible Bidder</w:t>
            </w:r>
          </w:p>
        </w:tc>
        <w:tc>
          <w:tcPr>
            <w:tcW w:w="7020" w:type="dxa"/>
            <w:shd w:val="clear" w:color="auto" w:fill="auto"/>
          </w:tcPr>
          <w:p w14:paraId="165DF9E1"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Pr>
                <w:rFonts w:cs="Arial"/>
                <w:color w:val="000000"/>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075F88" w:rsidRPr="00CF27D1" w14:paraId="6DB189B6" w14:textId="77777777" w:rsidTr="00AD79FF">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FA840C3" w14:textId="77777777" w:rsidR="00075F88" w:rsidRPr="005F4DCE" w:rsidRDefault="00075F88" w:rsidP="00AD79FF">
            <w:pPr>
              <w:spacing w:before="240"/>
              <w:rPr>
                <w:rFonts w:cs="Calibri"/>
                <w:b/>
              </w:rPr>
            </w:pPr>
            <w:r w:rsidRPr="00CF27D1">
              <w:rPr>
                <w:rFonts w:cs="Calibri"/>
                <w:b/>
              </w:rPr>
              <w:t>Subcontractor</w:t>
            </w: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14:paraId="74C96841"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Any individual or other legal entity, (including but not limited to sole proprietor, partnership, limited liability company, firm or corporation) who has entered into a contract, express or implied, for the performance of a portion of a Contract with a Contractor.</w:t>
            </w:r>
          </w:p>
        </w:tc>
      </w:tr>
      <w:tr w:rsidR="00075F88" w:rsidRPr="00B3396B" w14:paraId="5C3CB4FC" w14:textId="77777777" w:rsidTr="00AD79FF">
        <w:tc>
          <w:tcPr>
            <w:tcW w:w="2330" w:type="dxa"/>
            <w:shd w:val="clear" w:color="auto" w:fill="auto"/>
          </w:tcPr>
          <w:p w14:paraId="4EFCEDF2" w14:textId="77777777" w:rsidR="00075F88" w:rsidRPr="005F4DCE" w:rsidRDefault="00075F88" w:rsidP="00AD79FF">
            <w:pPr>
              <w:spacing w:before="240"/>
              <w:rPr>
                <w:rFonts w:cs="Calibri"/>
                <w:b/>
              </w:rPr>
            </w:pPr>
            <w:r w:rsidRPr="005F4DCE">
              <w:rPr>
                <w:rFonts w:cs="Calibri"/>
                <w:b/>
              </w:rPr>
              <w:t>Tax Debtor</w:t>
            </w:r>
          </w:p>
        </w:tc>
        <w:tc>
          <w:tcPr>
            <w:tcW w:w="7020" w:type="dxa"/>
            <w:shd w:val="clear" w:color="auto" w:fill="auto"/>
          </w:tcPr>
          <w:p w14:paraId="58414D3B"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sidRPr="005F4DCE">
              <w:rPr>
                <w:rFonts w:cs="Calibri"/>
              </w:rPr>
              <w:t xml:space="preserve">In Accordance with NYS Tax Law, Article 36 </w:t>
            </w:r>
            <w:r>
              <w:rPr>
                <w:rFonts w:cs="Arial"/>
                <w:szCs w:val="20"/>
              </w:rPr>
              <w:t xml:space="preserve">§1701 </w:t>
            </w:r>
            <w:r w:rsidRPr="00A31044">
              <w:rPr>
                <w:rFonts w:cs="Arial"/>
                <w:szCs w:val="20"/>
              </w:rPr>
              <w:t>means a natural person or any entity other than a natural person named on a New York State tax warrant and identified thereon as a judgment debtor.</w:t>
            </w:r>
          </w:p>
        </w:tc>
      </w:tr>
    </w:tbl>
    <w:p w14:paraId="1FF81E9C" w14:textId="77777777" w:rsidR="007A54E0" w:rsidRPr="002565C4" w:rsidRDefault="007A54E0" w:rsidP="007A54E0">
      <w:pPr>
        <w:rPr>
          <w:sz w:val="20"/>
          <w:szCs w:val="20"/>
        </w:rPr>
      </w:pPr>
    </w:p>
    <w:sectPr w:rsidR="007A54E0" w:rsidRPr="002565C4" w:rsidSect="00AD79F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BD29" w14:textId="77777777" w:rsidR="005D1BE3" w:rsidRDefault="005D1BE3" w:rsidP="00E35AB1">
      <w:pPr>
        <w:spacing w:after="0" w:line="240" w:lineRule="auto"/>
      </w:pPr>
      <w:r>
        <w:separator/>
      </w:r>
    </w:p>
  </w:endnote>
  <w:endnote w:type="continuationSeparator" w:id="0">
    <w:p w14:paraId="60526CBC" w14:textId="77777777" w:rsidR="005D1BE3" w:rsidRDefault="005D1BE3"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5B14" w14:textId="77777777" w:rsidR="005D1BE3" w:rsidRDefault="005D1BE3"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01F" w14:textId="1FE88856" w:rsidR="005D1BE3" w:rsidRDefault="005D1BE3"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sidR="00487A3D">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7A3D">
      <w:rPr>
        <w:b/>
        <w:noProof/>
      </w:rPr>
      <w:t>95</w:t>
    </w:r>
    <w:r>
      <w:rPr>
        <w:b/>
        <w:sz w:val="24"/>
        <w:szCs w:val="24"/>
      </w:rPr>
      <w:fldChar w:fldCharType="end"/>
    </w:r>
  </w:p>
  <w:p w14:paraId="57998398" w14:textId="77777777" w:rsidR="005D1BE3" w:rsidRDefault="005D1BE3"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B214" w14:textId="77777777" w:rsidR="00E7418D" w:rsidRDefault="00E7418D" w:rsidP="00E7418D">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0EE2597" w14:textId="77777777" w:rsidR="00E7418D" w:rsidRDefault="00E74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A7AF" w14:textId="77777777" w:rsidR="001C0547" w:rsidRDefault="001C0547" w:rsidP="001C0547">
    <w:pPr>
      <w:pStyle w:val="Footer"/>
      <w:jc w:val="right"/>
      <w:rPr>
        <w:color w:val="808080" w:themeColor="background1" w:themeShade="80"/>
      </w:rPr>
    </w:pPr>
  </w:p>
  <w:p w14:paraId="3F376CE5" w14:textId="4472CD40" w:rsidR="005D1BE3" w:rsidRDefault="005D1BE3" w:rsidP="001C0547">
    <w:pPr>
      <w:pStyle w:val="Footer"/>
      <w:jc w:val="right"/>
    </w:pPr>
    <w:r>
      <w:tab/>
    </w:r>
    <w:r>
      <w:tab/>
      <w:t xml:space="preserve">Page </w:t>
    </w:r>
    <w:r>
      <w:rPr>
        <w:b/>
        <w:sz w:val="24"/>
        <w:szCs w:val="24"/>
      </w:rPr>
      <w:fldChar w:fldCharType="begin"/>
    </w:r>
    <w:r>
      <w:rPr>
        <w:b/>
      </w:rPr>
      <w:instrText xml:space="preserve"> PAGE </w:instrText>
    </w:r>
    <w:r>
      <w:rPr>
        <w:b/>
        <w:sz w:val="24"/>
        <w:szCs w:val="24"/>
      </w:rPr>
      <w:fldChar w:fldCharType="separate"/>
    </w:r>
    <w:r w:rsidR="00E7418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7418D">
      <w:rPr>
        <w:b/>
        <w:noProof/>
      </w:rPr>
      <w:t>15</w:t>
    </w:r>
    <w:r>
      <w:rPr>
        <w:b/>
        <w:sz w:val="24"/>
        <w:szCs w:val="24"/>
      </w:rPr>
      <w:fldChar w:fldCharType="end"/>
    </w:r>
  </w:p>
  <w:p w14:paraId="4C59514D" w14:textId="0570B685" w:rsidR="005D1BE3" w:rsidRDefault="001C0547" w:rsidP="000959B3">
    <w:pPr>
      <w:pStyle w:val="Footer"/>
      <w:tabs>
        <w:tab w:val="clear" w:pos="4680"/>
        <w:tab w:val="clear" w:pos="9360"/>
        <w:tab w:val="left" w:pos="3330"/>
      </w:tabs>
    </w:pPr>
    <w:r>
      <w:rPr>
        <w:color w:val="808080" w:themeColor="background1" w:themeShade="80"/>
      </w:rPr>
      <w:t>Appendices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FF17" w14:textId="1F7EF262" w:rsidR="005D1BE3" w:rsidRDefault="005D1BE3" w:rsidP="00AD79F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7418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418D">
      <w:rPr>
        <w:b/>
        <w:bCs/>
        <w:noProof/>
      </w:rPr>
      <w:t>15</w:t>
    </w:r>
    <w:r>
      <w:rPr>
        <w:b/>
        <w:bCs/>
        <w:sz w:val="24"/>
        <w:szCs w:val="24"/>
      </w:rPr>
      <w:fldChar w:fldCharType="end"/>
    </w:r>
  </w:p>
  <w:p w14:paraId="3209511C" w14:textId="42BD9836" w:rsidR="001C0547" w:rsidRDefault="001C0547" w:rsidP="001C0547">
    <w:pPr>
      <w:pStyle w:val="Footer"/>
      <w:rPr>
        <w:color w:val="808080" w:themeColor="background1" w:themeShade="80"/>
      </w:rPr>
    </w:pPr>
    <w:r>
      <w:rPr>
        <w:color w:val="808080" w:themeColor="background1" w:themeShade="80"/>
      </w:rPr>
      <w:t>Appendices</w:t>
    </w:r>
  </w:p>
  <w:p w14:paraId="7E853418" w14:textId="77777777" w:rsidR="001C0547" w:rsidRDefault="001C0547" w:rsidP="001C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EC854" w14:textId="77777777" w:rsidR="005D1BE3" w:rsidRDefault="005D1BE3" w:rsidP="00E35AB1">
      <w:pPr>
        <w:spacing w:after="0" w:line="240" w:lineRule="auto"/>
      </w:pPr>
      <w:r>
        <w:separator/>
      </w:r>
    </w:p>
  </w:footnote>
  <w:footnote w:type="continuationSeparator" w:id="0">
    <w:p w14:paraId="22653714" w14:textId="77777777" w:rsidR="005D1BE3" w:rsidRDefault="005D1BE3"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3806" w14:textId="77777777" w:rsidR="005D1BE3" w:rsidRDefault="005D1BE3"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65DC" w14:textId="77777777" w:rsidR="005D1BE3" w:rsidRDefault="005D1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1AB39" w14:textId="77777777" w:rsidR="005D1BE3" w:rsidRDefault="005D1BE3" w:rsidP="00AD79FF">
    <w:pPr>
      <w:pStyle w:val="Header"/>
      <w:tabs>
        <w:tab w:val="left" w:pos="8115"/>
      </w:tabs>
      <w:jc w:val="center"/>
    </w:pPr>
    <w:r>
      <w:t>New York State Department of Taxation and Finance</w:t>
    </w:r>
  </w:p>
  <w:p w14:paraId="3F626C8B" w14:textId="723BBFEA" w:rsidR="005D1BE3" w:rsidRPr="00DF40B4" w:rsidRDefault="005D1BE3" w:rsidP="00AD79FF">
    <w:pPr>
      <w:pStyle w:val="Header"/>
      <w:tabs>
        <w:tab w:val="left" w:pos="8115"/>
      </w:tabs>
      <w:jc w:val="center"/>
    </w:pPr>
    <w:r>
      <w:t xml:space="preserve">Request for Proposals (RFP) </w:t>
    </w:r>
    <w:r w:rsidR="00047CF6">
      <w:t>17-100</w:t>
    </w:r>
  </w:p>
  <w:p w14:paraId="3DEAEB3C" w14:textId="5B875787" w:rsidR="005D1BE3" w:rsidRPr="00034591" w:rsidRDefault="00047CF6" w:rsidP="00AD79FF">
    <w:pPr>
      <w:pStyle w:val="Header"/>
      <w:jc w:val="center"/>
    </w:pPr>
    <w:r>
      <w:t>Financial Institution Data Match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3136" w14:textId="77777777" w:rsidR="005D1BE3" w:rsidRDefault="005D1B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1CB4" w14:textId="77777777" w:rsidR="005D1BE3" w:rsidRDefault="005D1B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BCFD" w14:textId="77777777" w:rsidR="005D1BE3" w:rsidRDefault="005D1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E1742AD"/>
    <w:multiLevelType w:val="hybridMultilevel"/>
    <w:tmpl w:val="DD08F778"/>
    <w:lvl w:ilvl="0" w:tplc="7EC0F210">
      <w:start w:val="1"/>
      <w:numFmt w:val="decimal"/>
      <w:lvlText w:val="%1."/>
      <w:lvlJc w:val="left"/>
      <w:pPr>
        <w:ind w:left="1080" w:hanging="720"/>
      </w:pPr>
      <w:rPr>
        <w:rFonts w:asciiTheme="minorHAnsi" w:eastAsia="Times New Roman"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A5585"/>
    <w:multiLevelType w:val="hybridMultilevel"/>
    <w:tmpl w:val="52C83E78"/>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7" w15:restartNumberingAfterBreak="0">
    <w:nsid w:val="1A7B0CCE"/>
    <w:multiLevelType w:val="hybridMultilevel"/>
    <w:tmpl w:val="C05C2344"/>
    <w:lvl w:ilvl="0" w:tplc="571086E4">
      <w:start w:val="1"/>
      <w:numFmt w:val="bullet"/>
      <w:lvlText w:val="□"/>
      <w:lvlJc w:val="left"/>
      <w:pPr>
        <w:ind w:left="404" w:hanging="303"/>
      </w:pPr>
      <w:rPr>
        <w:rFonts w:ascii="Times New Roman" w:eastAsia="Times New Roman" w:hAnsi="Times New Roman" w:hint="default"/>
        <w:b/>
        <w:bCs/>
        <w:color w:val="231F20"/>
        <w:w w:val="99"/>
        <w:sz w:val="32"/>
        <w:szCs w:val="32"/>
      </w:rPr>
    </w:lvl>
    <w:lvl w:ilvl="1" w:tplc="64C67C6E">
      <w:start w:val="1"/>
      <w:numFmt w:val="bullet"/>
      <w:lvlText w:val="•"/>
      <w:lvlJc w:val="left"/>
      <w:pPr>
        <w:ind w:left="912" w:hanging="303"/>
      </w:pPr>
      <w:rPr>
        <w:rFonts w:hint="default"/>
      </w:rPr>
    </w:lvl>
    <w:lvl w:ilvl="2" w:tplc="F146B4E8">
      <w:start w:val="1"/>
      <w:numFmt w:val="bullet"/>
      <w:lvlText w:val="•"/>
      <w:lvlJc w:val="left"/>
      <w:pPr>
        <w:ind w:left="1419" w:hanging="303"/>
      </w:pPr>
      <w:rPr>
        <w:rFonts w:hint="default"/>
      </w:rPr>
    </w:lvl>
    <w:lvl w:ilvl="3" w:tplc="95AA060C">
      <w:start w:val="1"/>
      <w:numFmt w:val="bullet"/>
      <w:lvlText w:val="•"/>
      <w:lvlJc w:val="left"/>
      <w:pPr>
        <w:ind w:left="1927" w:hanging="303"/>
      </w:pPr>
      <w:rPr>
        <w:rFonts w:hint="default"/>
      </w:rPr>
    </w:lvl>
    <w:lvl w:ilvl="4" w:tplc="589E28DC">
      <w:start w:val="1"/>
      <w:numFmt w:val="bullet"/>
      <w:lvlText w:val="•"/>
      <w:lvlJc w:val="left"/>
      <w:pPr>
        <w:ind w:left="2435" w:hanging="303"/>
      </w:pPr>
      <w:rPr>
        <w:rFonts w:hint="default"/>
      </w:rPr>
    </w:lvl>
    <w:lvl w:ilvl="5" w:tplc="C9B6D400">
      <w:start w:val="1"/>
      <w:numFmt w:val="bullet"/>
      <w:lvlText w:val="•"/>
      <w:lvlJc w:val="left"/>
      <w:pPr>
        <w:ind w:left="2942" w:hanging="303"/>
      </w:pPr>
      <w:rPr>
        <w:rFonts w:hint="default"/>
      </w:rPr>
    </w:lvl>
    <w:lvl w:ilvl="6" w:tplc="B62C6C9C">
      <w:start w:val="1"/>
      <w:numFmt w:val="bullet"/>
      <w:lvlText w:val="•"/>
      <w:lvlJc w:val="left"/>
      <w:pPr>
        <w:ind w:left="3450" w:hanging="303"/>
      </w:pPr>
      <w:rPr>
        <w:rFonts w:hint="default"/>
      </w:rPr>
    </w:lvl>
    <w:lvl w:ilvl="7" w:tplc="37A870E2">
      <w:start w:val="1"/>
      <w:numFmt w:val="bullet"/>
      <w:lvlText w:val="•"/>
      <w:lvlJc w:val="left"/>
      <w:pPr>
        <w:ind w:left="3957" w:hanging="303"/>
      </w:pPr>
      <w:rPr>
        <w:rFonts w:hint="default"/>
      </w:rPr>
    </w:lvl>
    <w:lvl w:ilvl="8" w:tplc="270C7A36">
      <w:start w:val="1"/>
      <w:numFmt w:val="bullet"/>
      <w:lvlText w:val="•"/>
      <w:lvlJc w:val="left"/>
      <w:pPr>
        <w:ind w:left="4465" w:hanging="303"/>
      </w:pPr>
      <w:rPr>
        <w:rFonts w:hint="default"/>
      </w:rPr>
    </w:lvl>
  </w:abstractNum>
  <w:abstractNum w:abstractNumId="18"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7"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01E22"/>
    <w:multiLevelType w:val="hybridMultilevel"/>
    <w:tmpl w:val="72905D3E"/>
    <w:lvl w:ilvl="0" w:tplc="3AB805E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02109"/>
    <w:multiLevelType w:val="hybridMultilevel"/>
    <w:tmpl w:val="2CD8AFF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509A9"/>
    <w:multiLevelType w:val="hybridMultilevel"/>
    <w:tmpl w:val="AD6C988E"/>
    <w:lvl w:ilvl="0" w:tplc="F1D63BB4">
      <w:start w:val="1"/>
      <w:numFmt w:val="decimal"/>
      <w:lvlText w:val="%1."/>
      <w:lvlJc w:val="left"/>
      <w:pPr>
        <w:ind w:left="1080" w:hanging="360"/>
      </w:pPr>
      <w:rPr>
        <w:rFonts w:asciiTheme="minorHAnsi" w:hAnsiTheme="minorHAnsi" w:cstheme="minorHAnsi" w:hint="default"/>
        <w:b/>
        <w: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AD2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5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55"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3"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6"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8"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7213D3"/>
    <w:multiLevelType w:val="hybridMultilevel"/>
    <w:tmpl w:val="4588C99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74"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7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7"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6270D2"/>
    <w:multiLevelType w:val="hybridMultilevel"/>
    <w:tmpl w:val="A656E5C0"/>
    <w:lvl w:ilvl="0" w:tplc="7F3ED5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906339"/>
    <w:multiLevelType w:val="hybridMultilevel"/>
    <w:tmpl w:val="D24C65A8"/>
    <w:lvl w:ilvl="0" w:tplc="5622AAFC">
      <w:start w:val="1"/>
      <w:numFmt w:val="decimal"/>
      <w:lvlText w:val="%1."/>
      <w:lvlJc w:val="left"/>
      <w:pPr>
        <w:ind w:left="840" w:hanging="360"/>
      </w:pPr>
      <w:rPr>
        <w:rFonts w:asciiTheme="minorHAnsi" w:eastAsia="Times New Roman" w:hAnsiTheme="minorHAnsi" w:cstheme="minorHAnsi" w:hint="default"/>
        <w:color w:val="231F20"/>
        <w:sz w:val="22"/>
        <w:szCs w:val="24"/>
      </w:rPr>
    </w:lvl>
    <w:lvl w:ilvl="1" w:tplc="EE6AE932">
      <w:start w:val="1"/>
      <w:numFmt w:val="bullet"/>
      <w:lvlText w:val="•"/>
      <w:lvlJc w:val="left"/>
      <w:pPr>
        <w:ind w:left="1788" w:hanging="360"/>
      </w:pPr>
      <w:rPr>
        <w:rFonts w:hint="default"/>
      </w:rPr>
    </w:lvl>
    <w:lvl w:ilvl="2" w:tplc="C42A2224">
      <w:start w:val="1"/>
      <w:numFmt w:val="bullet"/>
      <w:lvlText w:val="•"/>
      <w:lvlJc w:val="left"/>
      <w:pPr>
        <w:ind w:left="2736" w:hanging="360"/>
      </w:pPr>
      <w:rPr>
        <w:rFonts w:hint="default"/>
      </w:rPr>
    </w:lvl>
    <w:lvl w:ilvl="3" w:tplc="11BA7948">
      <w:start w:val="1"/>
      <w:numFmt w:val="bullet"/>
      <w:lvlText w:val="•"/>
      <w:lvlJc w:val="left"/>
      <w:pPr>
        <w:ind w:left="3684" w:hanging="360"/>
      </w:pPr>
      <w:rPr>
        <w:rFonts w:hint="default"/>
      </w:rPr>
    </w:lvl>
    <w:lvl w:ilvl="4" w:tplc="2CAE8B08">
      <w:start w:val="1"/>
      <w:numFmt w:val="bullet"/>
      <w:lvlText w:val="•"/>
      <w:lvlJc w:val="left"/>
      <w:pPr>
        <w:ind w:left="4632" w:hanging="360"/>
      </w:pPr>
      <w:rPr>
        <w:rFonts w:hint="default"/>
      </w:rPr>
    </w:lvl>
    <w:lvl w:ilvl="5" w:tplc="1E60AD96">
      <w:start w:val="1"/>
      <w:numFmt w:val="bullet"/>
      <w:lvlText w:val="•"/>
      <w:lvlJc w:val="left"/>
      <w:pPr>
        <w:ind w:left="5580" w:hanging="360"/>
      </w:pPr>
      <w:rPr>
        <w:rFonts w:hint="default"/>
      </w:rPr>
    </w:lvl>
    <w:lvl w:ilvl="6" w:tplc="D5606314">
      <w:start w:val="1"/>
      <w:numFmt w:val="bullet"/>
      <w:lvlText w:val="•"/>
      <w:lvlJc w:val="left"/>
      <w:pPr>
        <w:ind w:left="6528" w:hanging="360"/>
      </w:pPr>
      <w:rPr>
        <w:rFonts w:hint="default"/>
      </w:rPr>
    </w:lvl>
    <w:lvl w:ilvl="7" w:tplc="50589B8C">
      <w:start w:val="1"/>
      <w:numFmt w:val="bullet"/>
      <w:lvlText w:val="•"/>
      <w:lvlJc w:val="left"/>
      <w:pPr>
        <w:ind w:left="7476" w:hanging="360"/>
      </w:pPr>
      <w:rPr>
        <w:rFonts w:hint="default"/>
      </w:rPr>
    </w:lvl>
    <w:lvl w:ilvl="8" w:tplc="B49C4D8A">
      <w:start w:val="1"/>
      <w:numFmt w:val="bullet"/>
      <w:lvlText w:val="•"/>
      <w:lvlJc w:val="left"/>
      <w:pPr>
        <w:ind w:left="8424" w:hanging="360"/>
      </w:pPr>
      <w:rPr>
        <w:rFonts w:hint="default"/>
      </w:rPr>
    </w:lvl>
  </w:abstractNum>
  <w:abstractNum w:abstractNumId="83"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6"/>
  </w:num>
  <w:num w:numId="3">
    <w:abstractNumId w:val="20"/>
  </w:num>
  <w:num w:numId="4">
    <w:abstractNumId w:val="23"/>
  </w:num>
  <w:num w:numId="5">
    <w:abstractNumId w:val="27"/>
  </w:num>
  <w:num w:numId="6">
    <w:abstractNumId w:val="60"/>
  </w:num>
  <w:num w:numId="7">
    <w:abstractNumId w:val="28"/>
  </w:num>
  <w:num w:numId="8">
    <w:abstractNumId w:val="7"/>
  </w:num>
  <w:num w:numId="9">
    <w:abstractNumId w:val="49"/>
  </w:num>
  <w:num w:numId="10">
    <w:abstractNumId w:val="48"/>
  </w:num>
  <w:num w:numId="11">
    <w:abstractNumId w:val="43"/>
  </w:num>
  <w:num w:numId="12">
    <w:abstractNumId w:val="77"/>
  </w:num>
  <w:num w:numId="13">
    <w:abstractNumId w:val="35"/>
  </w:num>
  <w:num w:numId="14">
    <w:abstractNumId w:val="5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15"/>
  </w:num>
  <w:num w:numId="18">
    <w:abstractNumId w:val="42"/>
  </w:num>
  <w:num w:numId="19">
    <w:abstractNumId w:val="37"/>
  </w:num>
  <w:num w:numId="20">
    <w:abstractNumId w:val="40"/>
  </w:num>
  <w:num w:numId="21">
    <w:abstractNumId w:val="54"/>
  </w:num>
  <w:num w:numId="22">
    <w:abstractNumId w:val="3"/>
  </w:num>
  <w:num w:numId="23">
    <w:abstractNumId w:val="18"/>
  </w:num>
  <w:num w:numId="24">
    <w:abstractNumId w:val="68"/>
  </w:num>
  <w:num w:numId="25">
    <w:abstractNumId w:val="16"/>
  </w:num>
  <w:num w:numId="26">
    <w:abstractNumId w:val="13"/>
  </w:num>
  <w:num w:numId="27">
    <w:abstractNumId w:val="24"/>
  </w:num>
  <w:num w:numId="28">
    <w:abstractNumId w:val="12"/>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6"/>
  </w:num>
  <w:num w:numId="36">
    <w:abstractNumId w:val="2"/>
  </w:num>
  <w:num w:numId="37">
    <w:abstractNumId w:val="44"/>
  </w:num>
  <w:num w:numId="38">
    <w:abstractNumId w:val="57"/>
  </w:num>
  <w:num w:numId="39">
    <w:abstractNumId w:val="5"/>
  </w:num>
  <w:num w:numId="40">
    <w:abstractNumId w:val="50"/>
  </w:num>
  <w:num w:numId="41">
    <w:abstractNumId w:val="21"/>
  </w:num>
  <w:num w:numId="42">
    <w:abstractNumId w:val="71"/>
  </w:num>
  <w:num w:numId="43">
    <w:abstractNumId w:val="4"/>
  </w:num>
  <w:num w:numId="44">
    <w:abstractNumId w:val="10"/>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75"/>
  </w:num>
  <w:num w:numId="49">
    <w:abstractNumId w:val="38"/>
  </w:num>
  <w:num w:numId="50">
    <w:abstractNumId w:val="1"/>
  </w:num>
  <w:num w:numId="51">
    <w:abstractNumId w:val="9"/>
  </w:num>
  <w:num w:numId="52">
    <w:abstractNumId w:val="72"/>
  </w:num>
  <w:num w:numId="53">
    <w:abstractNumId w:val="22"/>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0"/>
  </w:num>
  <w:num w:numId="60">
    <w:abstractNumId w:val="26"/>
  </w:num>
  <w:num w:numId="61">
    <w:abstractNumId w:val="6"/>
  </w:num>
  <w:num w:numId="62">
    <w:abstractNumId w:val="52"/>
  </w:num>
  <w:num w:numId="63">
    <w:abstractNumId w:val="8"/>
  </w:num>
  <w:num w:numId="64">
    <w:abstractNumId w:val="76"/>
  </w:num>
  <w:num w:numId="65">
    <w:abstractNumId w:val="51"/>
  </w:num>
  <w:num w:numId="66">
    <w:abstractNumId w:val="65"/>
  </w:num>
  <w:num w:numId="67">
    <w:abstractNumId w:val="39"/>
  </w:num>
  <w:num w:numId="68">
    <w:abstractNumId w:val="47"/>
  </w:num>
  <w:num w:numId="69">
    <w:abstractNumId w:val="84"/>
  </w:num>
  <w:num w:numId="70">
    <w:abstractNumId w:val="81"/>
  </w:num>
  <w:num w:numId="71">
    <w:abstractNumId w:val="29"/>
  </w:num>
  <w:num w:numId="72">
    <w:abstractNumId w:val="41"/>
  </w:num>
  <w:num w:numId="73">
    <w:abstractNumId w:val="59"/>
  </w:num>
  <w:num w:numId="74">
    <w:abstractNumId w:val="58"/>
  </w:num>
  <w:num w:numId="75">
    <w:abstractNumId w:val="83"/>
  </w:num>
  <w:num w:numId="76">
    <w:abstractNumId w:val="36"/>
  </w:num>
  <w:num w:numId="77">
    <w:abstractNumId w:val="53"/>
  </w:num>
  <w:num w:numId="78">
    <w:abstractNumId w:val="82"/>
  </w:num>
  <w:num w:numId="79">
    <w:abstractNumId w:val="17"/>
  </w:num>
  <w:num w:numId="80">
    <w:abstractNumId w:val="63"/>
  </w:num>
  <w:num w:numId="81">
    <w:abstractNumId w:val="80"/>
  </w:num>
  <w:num w:numId="82">
    <w:abstractNumId w:val="25"/>
  </w:num>
  <w:num w:numId="83">
    <w:abstractNumId w:val="79"/>
  </w:num>
  <w:num w:numId="84">
    <w:abstractNumId w:val="70"/>
  </w:num>
  <w:num w:numId="85">
    <w:abstractNumId w:val="31"/>
  </w:num>
  <w:num w:numId="86">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17E59"/>
    <w:rsid w:val="000314F8"/>
    <w:rsid w:val="00047CF6"/>
    <w:rsid w:val="00065B96"/>
    <w:rsid w:val="00075F88"/>
    <w:rsid w:val="00076EBD"/>
    <w:rsid w:val="000959B3"/>
    <w:rsid w:val="000B1B54"/>
    <w:rsid w:val="000D2FB6"/>
    <w:rsid w:val="000F2AE6"/>
    <w:rsid w:val="000F7E35"/>
    <w:rsid w:val="00113E5C"/>
    <w:rsid w:val="00114003"/>
    <w:rsid w:val="0014490A"/>
    <w:rsid w:val="00144BED"/>
    <w:rsid w:val="00161A6E"/>
    <w:rsid w:val="001828A9"/>
    <w:rsid w:val="001B3A73"/>
    <w:rsid w:val="001C0547"/>
    <w:rsid w:val="001F7FF5"/>
    <w:rsid w:val="00217C29"/>
    <w:rsid w:val="00232373"/>
    <w:rsid w:val="0024307E"/>
    <w:rsid w:val="00250602"/>
    <w:rsid w:val="00251AE8"/>
    <w:rsid w:val="00252046"/>
    <w:rsid w:val="0025381A"/>
    <w:rsid w:val="002C5F46"/>
    <w:rsid w:val="0032597B"/>
    <w:rsid w:val="00345E37"/>
    <w:rsid w:val="00354792"/>
    <w:rsid w:val="003554E8"/>
    <w:rsid w:val="00356B7E"/>
    <w:rsid w:val="003D3263"/>
    <w:rsid w:val="003E1453"/>
    <w:rsid w:val="003E55B2"/>
    <w:rsid w:val="004114BB"/>
    <w:rsid w:val="00467ADD"/>
    <w:rsid w:val="004774D5"/>
    <w:rsid w:val="00484D8F"/>
    <w:rsid w:val="00487A3D"/>
    <w:rsid w:val="00496E26"/>
    <w:rsid w:val="004C3D02"/>
    <w:rsid w:val="00504925"/>
    <w:rsid w:val="00526FE5"/>
    <w:rsid w:val="00547A70"/>
    <w:rsid w:val="005A2286"/>
    <w:rsid w:val="005B0FEB"/>
    <w:rsid w:val="005D1BE3"/>
    <w:rsid w:val="005F7A3E"/>
    <w:rsid w:val="00615F5E"/>
    <w:rsid w:val="00616289"/>
    <w:rsid w:val="00622298"/>
    <w:rsid w:val="00690DEB"/>
    <w:rsid w:val="006A4ED4"/>
    <w:rsid w:val="006B488C"/>
    <w:rsid w:val="006D0479"/>
    <w:rsid w:val="00705E95"/>
    <w:rsid w:val="00715BF1"/>
    <w:rsid w:val="00731BFD"/>
    <w:rsid w:val="00766AB4"/>
    <w:rsid w:val="007A4813"/>
    <w:rsid w:val="007A54E0"/>
    <w:rsid w:val="007D3C8C"/>
    <w:rsid w:val="007D497C"/>
    <w:rsid w:val="007E4402"/>
    <w:rsid w:val="007F07B6"/>
    <w:rsid w:val="00835FD8"/>
    <w:rsid w:val="00856BCA"/>
    <w:rsid w:val="0087747D"/>
    <w:rsid w:val="008828C9"/>
    <w:rsid w:val="008A1F00"/>
    <w:rsid w:val="008A7C27"/>
    <w:rsid w:val="008C0245"/>
    <w:rsid w:val="008E6374"/>
    <w:rsid w:val="00907EF0"/>
    <w:rsid w:val="009148F5"/>
    <w:rsid w:val="00944DE7"/>
    <w:rsid w:val="00953832"/>
    <w:rsid w:val="00970183"/>
    <w:rsid w:val="009C363E"/>
    <w:rsid w:val="009F4705"/>
    <w:rsid w:val="00A2221F"/>
    <w:rsid w:val="00A40385"/>
    <w:rsid w:val="00A430D3"/>
    <w:rsid w:val="00A554CC"/>
    <w:rsid w:val="00A80475"/>
    <w:rsid w:val="00AA647F"/>
    <w:rsid w:val="00AD79FF"/>
    <w:rsid w:val="00AF66BD"/>
    <w:rsid w:val="00B12126"/>
    <w:rsid w:val="00BC00F9"/>
    <w:rsid w:val="00C073A3"/>
    <w:rsid w:val="00C1324D"/>
    <w:rsid w:val="00C13BF3"/>
    <w:rsid w:val="00C26A6C"/>
    <w:rsid w:val="00C42A11"/>
    <w:rsid w:val="00C433B5"/>
    <w:rsid w:val="00C80471"/>
    <w:rsid w:val="00C9596E"/>
    <w:rsid w:val="00CA32E4"/>
    <w:rsid w:val="00CD2D8E"/>
    <w:rsid w:val="00CD551E"/>
    <w:rsid w:val="00CE6119"/>
    <w:rsid w:val="00CF0672"/>
    <w:rsid w:val="00D35612"/>
    <w:rsid w:val="00D4416A"/>
    <w:rsid w:val="00D90584"/>
    <w:rsid w:val="00DA062A"/>
    <w:rsid w:val="00DB0DB8"/>
    <w:rsid w:val="00DC380C"/>
    <w:rsid w:val="00DD7B66"/>
    <w:rsid w:val="00DE7C78"/>
    <w:rsid w:val="00E1605F"/>
    <w:rsid w:val="00E33BF4"/>
    <w:rsid w:val="00E35AB1"/>
    <w:rsid w:val="00E721A3"/>
    <w:rsid w:val="00E7418D"/>
    <w:rsid w:val="00E7783E"/>
    <w:rsid w:val="00EB1D10"/>
    <w:rsid w:val="00EC728D"/>
    <w:rsid w:val="00F16B52"/>
    <w:rsid w:val="00F17EC7"/>
    <w:rsid w:val="00F8742E"/>
    <w:rsid w:val="00FA1C88"/>
    <w:rsid w:val="00FC5B06"/>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5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6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6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6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64"/>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64"/>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64"/>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64"/>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64"/>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64"/>
      </w:numPr>
      <w:spacing w:after="120" w:line="240" w:lineRule="auto"/>
    </w:pPr>
    <w:rPr>
      <w:rFonts w:ascii="Arial" w:eastAsia="Times New Roman" w:hAnsi="Arial" w:cs="Arial"/>
    </w:rPr>
  </w:style>
  <w:style w:type="numbering" w:customStyle="1" w:styleId="Bullets">
    <w:name w:val="Bullets"/>
    <w:basedOn w:val="NoList"/>
    <w:rsid w:val="00731BFD"/>
    <w:pPr>
      <w:numPr>
        <w:numId w:val="64"/>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6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67"/>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gs.ny.gov/about/regs/docs/ListofEntiti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y.newnycontracts.com/FrontEnd/VendorSearchPublic.as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wbecertification@esd.ny.gov"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pa@esd.ny.gov"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52EB-466B-4658-9181-7D15951E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C450E515</Template>
  <TotalTime>10</TotalTime>
  <Pages>15</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Gwynn, William</dc:creator>
  <cp:lastModifiedBy>Alexander, Amber M (TAX)</cp:lastModifiedBy>
  <cp:revision>8</cp:revision>
  <cp:lastPrinted>2017-10-13T14:06:00Z</cp:lastPrinted>
  <dcterms:created xsi:type="dcterms:W3CDTF">2017-10-30T20:14:00Z</dcterms:created>
  <dcterms:modified xsi:type="dcterms:W3CDTF">2017-11-03T19:52:00Z</dcterms:modified>
</cp:coreProperties>
</file>