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21" w:type="dxa"/>
        <w:jc w:val="center"/>
        <w:tblInd w:w="2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ED61F2" w:rsidRPr="000772D4" w:rsidTr="0095225D">
        <w:trPr>
          <w:trHeight w:val="1080"/>
          <w:jc w:val="center"/>
        </w:trPr>
        <w:tc>
          <w:tcPr>
            <w:tcW w:w="11221" w:type="dxa"/>
            <w:gridSpan w:val="3"/>
          </w:tcPr>
          <w:p w:rsidR="00ED61F2" w:rsidRDefault="00ED61F2" w:rsidP="0095225D">
            <w:pPr>
              <w:ind w:left="733"/>
              <w:rPr>
                <w:i/>
              </w:rPr>
            </w:pPr>
            <w:bookmarkStart w:id="0" w:name="_Toc461543217"/>
            <w:r>
              <w:rPr>
                <w:i/>
                <w:noProof/>
              </w:rPr>
              <w:drawing>
                <wp:inline distT="0" distB="0" distL="0" distR="0" wp14:anchorId="7F77F4E9" wp14:editId="37FB973D">
                  <wp:extent cx="3347257" cy="60007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rsidR="00ED61F2" w:rsidRPr="000772D4" w:rsidRDefault="00ED61F2" w:rsidP="0095225D">
            <w:pPr>
              <w:ind w:left="45"/>
              <w:rPr>
                <w:i/>
              </w:rPr>
            </w:pPr>
          </w:p>
        </w:tc>
      </w:tr>
      <w:tr w:rsidR="00ED61F2" w:rsidRPr="004E21EB" w:rsidTr="0095225D">
        <w:trPr>
          <w:trHeight w:val="585"/>
          <w:jc w:val="center"/>
        </w:trPr>
        <w:tc>
          <w:tcPr>
            <w:tcW w:w="4442" w:type="dxa"/>
            <w:vAlign w:val="center"/>
          </w:tcPr>
          <w:p w:rsidR="00ED61F2" w:rsidRDefault="00ED61F2" w:rsidP="0095225D">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rsidR="00ED61F2" w:rsidRDefault="00ED61F2" w:rsidP="0095225D">
            <w:pPr>
              <w:spacing w:before="60"/>
              <w:ind w:left="734"/>
              <w:rPr>
                <w:rFonts w:ascii="Proxima Nova Rg" w:hAnsi="Proxima Nova Rg" w:cs="Arial"/>
                <w:b/>
                <w:caps/>
                <w:noProof/>
                <w:sz w:val="20"/>
              </w:rPr>
            </w:pPr>
            <w:r>
              <w:rPr>
                <w:rFonts w:ascii="Proxima Nova Rg" w:hAnsi="Proxima Nova Rg" w:cs="Arial"/>
                <w:b/>
                <w:caps/>
                <w:noProof/>
                <w:sz w:val="20"/>
              </w:rPr>
              <w:t>Procurement Unit</w:t>
            </w:r>
          </w:p>
          <w:p w:rsidR="00ED61F2" w:rsidRDefault="00ED61F2" w:rsidP="0095225D">
            <w:pPr>
              <w:spacing w:before="60"/>
              <w:ind w:left="734"/>
              <w:rPr>
                <w:rFonts w:ascii="Proxima Nova Rg" w:hAnsi="Proxima Nova Rg" w:cs="Arial"/>
                <w:b/>
                <w:caps/>
                <w:noProof/>
                <w:sz w:val="20"/>
              </w:rPr>
            </w:pPr>
          </w:p>
          <w:p w:rsidR="00ED61F2" w:rsidRPr="00352E1A" w:rsidRDefault="00ED61F2" w:rsidP="0095225D">
            <w:pPr>
              <w:spacing w:before="60"/>
              <w:ind w:left="734"/>
              <w:rPr>
                <w:rFonts w:ascii="Proxima Nova Rg" w:hAnsi="Proxima Nova Rg" w:cs="Arial"/>
                <w:b/>
                <w:caps/>
                <w:noProof/>
                <w:sz w:val="20"/>
              </w:rPr>
            </w:pPr>
          </w:p>
        </w:tc>
        <w:tc>
          <w:tcPr>
            <w:tcW w:w="2987" w:type="dxa"/>
            <w:vAlign w:val="center"/>
          </w:tcPr>
          <w:p w:rsidR="00ED61F2" w:rsidRPr="004E21EB" w:rsidRDefault="00ED61F2" w:rsidP="0095225D">
            <w:pPr>
              <w:ind w:left="250"/>
              <w:rPr>
                <w:rFonts w:ascii="Proxima Nova Rg" w:hAnsi="Proxima Nova Rg"/>
                <w:noProof/>
              </w:rPr>
            </w:pPr>
          </w:p>
        </w:tc>
        <w:tc>
          <w:tcPr>
            <w:tcW w:w="3792" w:type="dxa"/>
            <w:vAlign w:val="center"/>
          </w:tcPr>
          <w:p w:rsidR="00ED61F2" w:rsidRPr="004E21EB" w:rsidRDefault="00ED61F2" w:rsidP="0095225D">
            <w:pPr>
              <w:ind w:left="593"/>
              <w:rPr>
                <w:rFonts w:ascii="Proxima Nova Rg" w:hAnsi="Proxima Nova Rg" w:cs="Arial"/>
                <w:caps/>
                <w:noProof/>
                <w:sz w:val="20"/>
              </w:rPr>
            </w:pPr>
          </w:p>
        </w:tc>
      </w:tr>
    </w:tbl>
    <w:p w:rsidR="00ED61F2" w:rsidRDefault="00ED61F2" w:rsidP="00ED61F2">
      <w:pPr>
        <w:jc w:val="center"/>
        <w:rPr>
          <w:rFonts w:ascii="Times New Roman" w:hAnsi="Times New Roman"/>
        </w:rPr>
      </w:pPr>
    </w:p>
    <w:p w:rsidR="00116CAD" w:rsidRDefault="0082730E" w:rsidP="0082730E">
      <w:pPr>
        <w:autoSpaceDE w:val="0"/>
        <w:autoSpaceDN w:val="0"/>
        <w:adjustRightInd w:val="0"/>
        <w:jc w:val="center"/>
        <w:rPr>
          <w:rFonts w:cs="Calibri"/>
          <w:b/>
          <w:bCs/>
        </w:rPr>
      </w:pPr>
      <w:r>
        <w:rPr>
          <w:rFonts w:cs="Calibri"/>
          <w:b/>
          <w:bCs/>
        </w:rPr>
        <w:t>Invitation for Bids (IFB</w:t>
      </w:r>
      <w:r w:rsidRPr="0082730E">
        <w:rPr>
          <w:rFonts w:cs="Calibri"/>
          <w:b/>
          <w:bCs/>
        </w:rPr>
        <w:t xml:space="preserve">) </w:t>
      </w:r>
      <w:r>
        <w:rPr>
          <w:rFonts w:cs="Calibri"/>
          <w:b/>
          <w:bCs/>
        </w:rPr>
        <w:t xml:space="preserve">16-200 </w:t>
      </w:r>
    </w:p>
    <w:p w:rsidR="0082730E" w:rsidRDefault="005A7681" w:rsidP="0082730E">
      <w:pPr>
        <w:autoSpaceDE w:val="0"/>
        <w:autoSpaceDN w:val="0"/>
        <w:adjustRightInd w:val="0"/>
        <w:jc w:val="center"/>
        <w:rPr>
          <w:rFonts w:cs="Calibri"/>
          <w:b/>
          <w:bCs/>
        </w:rPr>
      </w:pPr>
      <w:r w:rsidRPr="005A7681">
        <w:rPr>
          <w:rFonts w:cs="Calibri"/>
          <w:b/>
          <w:bCs/>
        </w:rPr>
        <w:t>Tax Law Handbooks and Electronic Online Tax and</w:t>
      </w:r>
      <w:r w:rsidR="00FF1DF6">
        <w:rPr>
          <w:rFonts w:cs="Calibri"/>
          <w:b/>
          <w:bCs/>
        </w:rPr>
        <w:t xml:space="preserve"> </w:t>
      </w:r>
      <w:r w:rsidRPr="005A7681">
        <w:rPr>
          <w:rFonts w:cs="Calibri"/>
          <w:b/>
          <w:bCs/>
        </w:rPr>
        <w:t xml:space="preserve">Accounting Research Database Service </w:t>
      </w:r>
      <w:r w:rsidR="0082730E" w:rsidRPr="0082730E">
        <w:rPr>
          <w:rFonts w:cs="Calibri"/>
          <w:b/>
          <w:bCs/>
        </w:rPr>
        <w:t xml:space="preserve"> </w:t>
      </w:r>
    </w:p>
    <w:p w:rsidR="00464083" w:rsidRDefault="00464083" w:rsidP="00464083">
      <w:pPr>
        <w:autoSpaceDE w:val="0"/>
        <w:autoSpaceDN w:val="0"/>
        <w:adjustRightInd w:val="0"/>
        <w:jc w:val="center"/>
        <w:rPr>
          <w:rFonts w:cs="Calibri"/>
          <w:b/>
          <w:bCs/>
        </w:rPr>
      </w:pPr>
      <w:r w:rsidRPr="0082730E">
        <w:rPr>
          <w:rFonts w:cs="Calibri"/>
          <w:b/>
          <w:bCs/>
        </w:rPr>
        <w:t>Response to Bid</w:t>
      </w:r>
      <w:r>
        <w:rPr>
          <w:rFonts w:cs="Calibri"/>
          <w:b/>
          <w:bCs/>
        </w:rPr>
        <w:t xml:space="preserve">der Questions and Amendment #1 </w:t>
      </w:r>
    </w:p>
    <w:p w:rsidR="005A7681" w:rsidRDefault="005A7681" w:rsidP="00ED61F2">
      <w:pPr>
        <w:autoSpaceDE w:val="0"/>
        <w:autoSpaceDN w:val="0"/>
        <w:adjustRightInd w:val="0"/>
        <w:ind w:left="240"/>
        <w:rPr>
          <w:rFonts w:cs="Calibri"/>
          <w:b/>
          <w:bCs/>
        </w:rPr>
      </w:pPr>
    </w:p>
    <w:p w:rsidR="009720F6" w:rsidRDefault="0099304D" w:rsidP="00ED61F2">
      <w:pPr>
        <w:autoSpaceDE w:val="0"/>
        <w:autoSpaceDN w:val="0"/>
        <w:adjustRightInd w:val="0"/>
        <w:ind w:left="240"/>
        <w:rPr>
          <w:rFonts w:cs="Calibri"/>
        </w:rPr>
      </w:pPr>
      <w:r w:rsidRPr="0099304D">
        <w:rPr>
          <w:rFonts w:cs="Calibri"/>
        </w:rPr>
        <w:t>October 13</w:t>
      </w:r>
      <w:r w:rsidR="00571419" w:rsidRPr="0099304D">
        <w:rPr>
          <w:rFonts w:cs="Calibri"/>
        </w:rPr>
        <w:t>, 2016</w:t>
      </w:r>
    </w:p>
    <w:p w:rsidR="009720F6" w:rsidRDefault="009720F6" w:rsidP="00ED61F2">
      <w:pPr>
        <w:autoSpaceDE w:val="0"/>
        <w:autoSpaceDN w:val="0"/>
        <w:adjustRightInd w:val="0"/>
        <w:ind w:left="240"/>
        <w:rPr>
          <w:rFonts w:cs="Calibri"/>
        </w:rPr>
      </w:pPr>
    </w:p>
    <w:p w:rsidR="005A7681" w:rsidRDefault="0002720A" w:rsidP="005A7681">
      <w:pPr>
        <w:autoSpaceDE w:val="0"/>
        <w:autoSpaceDN w:val="0"/>
        <w:adjustRightInd w:val="0"/>
        <w:ind w:left="240"/>
        <w:rPr>
          <w:rFonts w:cs="Calibri"/>
        </w:rPr>
      </w:pPr>
      <w:r>
        <w:rPr>
          <w:rFonts w:cs="Calibri"/>
        </w:rPr>
        <w:t>To All Potential Bidders:</w:t>
      </w:r>
    </w:p>
    <w:p w:rsidR="00DE01E9" w:rsidRDefault="005A7681" w:rsidP="005A7681">
      <w:pPr>
        <w:autoSpaceDE w:val="0"/>
        <w:autoSpaceDN w:val="0"/>
        <w:adjustRightInd w:val="0"/>
        <w:ind w:left="240"/>
        <w:rPr>
          <w:rFonts w:cs="Calibri"/>
          <w:bCs/>
        </w:rPr>
      </w:pPr>
      <w:r w:rsidRPr="005A7681">
        <w:rPr>
          <w:rFonts w:cs="Calibri"/>
          <w:bCs/>
        </w:rPr>
        <w:t>Attached are the Department’s responses to Questions received for the above referenced IFB.</w:t>
      </w:r>
    </w:p>
    <w:p w:rsidR="00ED61F2" w:rsidRPr="003117F7" w:rsidRDefault="00DE01E9" w:rsidP="00ED61F2">
      <w:pPr>
        <w:autoSpaceDE w:val="0"/>
        <w:autoSpaceDN w:val="0"/>
        <w:adjustRightInd w:val="0"/>
        <w:ind w:left="240"/>
        <w:rPr>
          <w:rFonts w:cs="Calibri"/>
        </w:rPr>
      </w:pPr>
      <w:r>
        <w:rPr>
          <w:rFonts w:cs="Calibri"/>
          <w:bCs/>
        </w:rPr>
        <w:t xml:space="preserve"> Also, </w:t>
      </w:r>
      <w:r>
        <w:rPr>
          <w:rFonts w:cs="Calibri"/>
        </w:rPr>
        <w:t>t</w:t>
      </w:r>
      <w:r w:rsidR="00ED61F2" w:rsidRPr="003117F7">
        <w:rPr>
          <w:rFonts w:cs="Calibri"/>
        </w:rPr>
        <w:t xml:space="preserve">he Department is issuing </w:t>
      </w:r>
      <w:r w:rsidR="00ED61F2">
        <w:rPr>
          <w:rFonts w:cs="Calibri"/>
        </w:rPr>
        <w:t>Amendment #1 as clarification</w:t>
      </w:r>
      <w:r w:rsidR="00ED61F2" w:rsidRPr="003117F7">
        <w:rPr>
          <w:rFonts w:cs="Calibri"/>
        </w:rPr>
        <w:t xml:space="preserve"> </w:t>
      </w:r>
      <w:r w:rsidR="00ED61F2">
        <w:rPr>
          <w:rFonts w:cs="Calibri"/>
        </w:rPr>
        <w:t>to</w:t>
      </w:r>
      <w:r w:rsidR="00ED61F2" w:rsidRPr="003117F7">
        <w:rPr>
          <w:rFonts w:cs="Calibri"/>
        </w:rPr>
        <w:t>:</w:t>
      </w:r>
    </w:p>
    <w:p w:rsidR="00B6427C" w:rsidRDefault="00ED61F2" w:rsidP="00ED61F2">
      <w:pPr>
        <w:numPr>
          <w:ilvl w:val="0"/>
          <w:numId w:val="1"/>
        </w:numPr>
        <w:autoSpaceDE w:val="0"/>
        <w:autoSpaceDN w:val="0"/>
        <w:adjustRightInd w:val="0"/>
        <w:spacing w:after="240"/>
        <w:ind w:left="1440"/>
        <w:rPr>
          <w:rFonts w:cs="Arial"/>
        </w:rPr>
      </w:pPr>
      <w:r>
        <w:rPr>
          <w:rFonts w:cs="Arial"/>
        </w:rPr>
        <w:t xml:space="preserve">Amend the Schedule of Events; </w:t>
      </w:r>
    </w:p>
    <w:p w:rsidR="00ED61F2" w:rsidRDefault="00B6427C" w:rsidP="00ED61F2">
      <w:pPr>
        <w:numPr>
          <w:ilvl w:val="0"/>
          <w:numId w:val="1"/>
        </w:numPr>
        <w:autoSpaceDE w:val="0"/>
        <w:autoSpaceDN w:val="0"/>
        <w:adjustRightInd w:val="0"/>
        <w:spacing w:after="240"/>
        <w:ind w:left="1440"/>
        <w:rPr>
          <w:rFonts w:cs="Arial"/>
        </w:rPr>
      </w:pPr>
      <w:r>
        <w:rPr>
          <w:rFonts w:cs="Arial"/>
        </w:rPr>
        <w:t xml:space="preserve">Amend the specifications for Lot 1; </w:t>
      </w:r>
      <w:r w:rsidR="00ED61F2">
        <w:rPr>
          <w:rFonts w:cs="Arial"/>
        </w:rPr>
        <w:t>and</w:t>
      </w:r>
    </w:p>
    <w:p w:rsidR="00DF7DCD" w:rsidRDefault="00DF7DCD" w:rsidP="00ED61F2">
      <w:pPr>
        <w:numPr>
          <w:ilvl w:val="0"/>
          <w:numId w:val="1"/>
        </w:numPr>
        <w:autoSpaceDE w:val="0"/>
        <w:autoSpaceDN w:val="0"/>
        <w:adjustRightInd w:val="0"/>
        <w:spacing w:after="240"/>
        <w:ind w:left="1440"/>
        <w:rPr>
          <w:rFonts w:cs="Arial"/>
        </w:rPr>
      </w:pPr>
      <w:r>
        <w:rPr>
          <w:rFonts w:cs="Arial"/>
        </w:rPr>
        <w:t>Remove the TSBM page c</w:t>
      </w:r>
      <w:r w:rsidR="007475D6">
        <w:rPr>
          <w:rFonts w:cs="Arial"/>
        </w:rPr>
        <w:t>ounts from the total page count</w:t>
      </w:r>
      <w:r w:rsidR="00571419">
        <w:rPr>
          <w:rFonts w:cs="Arial"/>
        </w:rPr>
        <w:t>s</w:t>
      </w:r>
      <w:r w:rsidR="007475D6">
        <w:rPr>
          <w:rFonts w:cs="Arial"/>
        </w:rPr>
        <w:t xml:space="preserve"> for the NYS Sales &amp; Use</w:t>
      </w:r>
      <w:r w:rsidR="00571419">
        <w:rPr>
          <w:rFonts w:cs="Arial"/>
        </w:rPr>
        <w:t xml:space="preserve"> Tax Law Handbooks </w:t>
      </w:r>
      <w:r>
        <w:rPr>
          <w:rFonts w:cs="Arial"/>
        </w:rPr>
        <w:t>provided in Exhibit 1.</w:t>
      </w:r>
    </w:p>
    <w:p w:rsidR="00ED61F2" w:rsidRPr="003117F7" w:rsidRDefault="0082730E" w:rsidP="00ED61F2">
      <w:pPr>
        <w:ind w:left="240"/>
        <w:jc w:val="both"/>
        <w:rPr>
          <w:rFonts w:cs="Arial"/>
        </w:rPr>
      </w:pPr>
      <w:r>
        <w:rPr>
          <w:rFonts w:cs="Arial"/>
        </w:rPr>
        <w:t xml:space="preserve">Replacement </w:t>
      </w:r>
      <w:r w:rsidR="00ED61F2" w:rsidRPr="003117F7">
        <w:rPr>
          <w:rFonts w:cs="Arial"/>
        </w:rPr>
        <w:t>pages</w:t>
      </w:r>
      <w:r w:rsidR="0002720A">
        <w:rPr>
          <w:rFonts w:cs="Arial"/>
        </w:rPr>
        <w:t xml:space="preserve"> </w:t>
      </w:r>
      <w:r w:rsidR="00DF7DCD">
        <w:rPr>
          <w:rFonts w:cs="Arial"/>
        </w:rPr>
        <w:t>follow</w:t>
      </w:r>
      <w:r w:rsidR="00ED61F2" w:rsidRPr="003117F7">
        <w:rPr>
          <w:rFonts w:cs="Arial"/>
        </w:rPr>
        <w:t xml:space="preserve">.  All </w:t>
      </w:r>
      <w:r w:rsidR="00ED61F2">
        <w:rPr>
          <w:rFonts w:cs="Arial"/>
        </w:rPr>
        <w:t xml:space="preserve">deletions are shown as blue, strike-through text, </w:t>
      </w:r>
      <w:r w:rsidR="00DF7DCD">
        <w:rPr>
          <w:rFonts w:cs="Arial"/>
        </w:rPr>
        <w:t xml:space="preserve">and </w:t>
      </w:r>
      <w:r w:rsidR="00ED61F2">
        <w:rPr>
          <w:rFonts w:cs="Arial"/>
        </w:rPr>
        <w:t>all additions are</w:t>
      </w:r>
      <w:r w:rsidR="00ED61F2" w:rsidRPr="003117F7">
        <w:rPr>
          <w:rFonts w:cs="Arial"/>
        </w:rPr>
        <w:t xml:space="preserve"> </w:t>
      </w:r>
      <w:r w:rsidR="00ED61F2">
        <w:rPr>
          <w:rFonts w:cs="Arial"/>
        </w:rPr>
        <w:t xml:space="preserve">made </w:t>
      </w:r>
      <w:r w:rsidR="00ED61F2" w:rsidRPr="003117F7">
        <w:rPr>
          <w:rFonts w:cs="Arial"/>
        </w:rPr>
        <w:t>in red</w:t>
      </w:r>
      <w:r w:rsidR="00ED61F2">
        <w:rPr>
          <w:rFonts w:cs="Arial"/>
        </w:rPr>
        <w:t xml:space="preserve"> text</w:t>
      </w:r>
      <w:r w:rsidR="00ED61F2" w:rsidRPr="003117F7">
        <w:rPr>
          <w:rFonts w:cs="Arial"/>
        </w:rPr>
        <w:t>.</w:t>
      </w:r>
    </w:p>
    <w:p w:rsidR="007475D6" w:rsidRDefault="00ED61F2" w:rsidP="00ED61F2">
      <w:pPr>
        <w:ind w:left="240"/>
        <w:rPr>
          <w:rFonts w:cs="Arial"/>
        </w:rPr>
      </w:pPr>
      <w:r w:rsidRPr="003117F7">
        <w:rPr>
          <w:rFonts w:cs="Arial"/>
        </w:rPr>
        <w:t xml:space="preserve">All other requirements and conditions </w:t>
      </w:r>
      <w:r>
        <w:rPr>
          <w:rFonts w:cs="Arial"/>
        </w:rPr>
        <w:t>remain as indicated in the IFB.</w:t>
      </w:r>
    </w:p>
    <w:p w:rsidR="007475D6" w:rsidRDefault="007475D6" w:rsidP="00ED61F2">
      <w:pPr>
        <w:ind w:left="240"/>
        <w:rPr>
          <w:rFonts w:cs="Arial"/>
        </w:rPr>
      </w:pPr>
      <w:r>
        <w:rPr>
          <w:rFonts w:cs="Arial"/>
        </w:rPr>
        <w:t>All proposals must be received no later than 2:00</w:t>
      </w:r>
      <w:r w:rsidR="00DE01E9">
        <w:rPr>
          <w:rFonts w:cs="Arial"/>
        </w:rPr>
        <w:t xml:space="preserve"> </w:t>
      </w:r>
      <w:r>
        <w:rPr>
          <w:rFonts w:cs="Arial"/>
        </w:rPr>
        <w:t xml:space="preserve">pm, </w:t>
      </w:r>
      <w:r w:rsidR="00153FD1">
        <w:rPr>
          <w:rFonts w:cs="Arial"/>
        </w:rPr>
        <w:t>October 25</w:t>
      </w:r>
      <w:r w:rsidRPr="003854C5">
        <w:rPr>
          <w:rFonts w:cs="Arial"/>
        </w:rPr>
        <w:t>, 2016.</w:t>
      </w:r>
    </w:p>
    <w:p w:rsidR="00116CAD" w:rsidRDefault="00116CAD" w:rsidP="00ED61F2">
      <w:pPr>
        <w:ind w:left="240"/>
        <w:rPr>
          <w:rFonts w:cs="Arial"/>
        </w:rPr>
      </w:pPr>
    </w:p>
    <w:p w:rsidR="00CF3B2C" w:rsidRDefault="00CF3B2C" w:rsidP="00ED61F2">
      <w:pPr>
        <w:ind w:left="240"/>
        <w:rPr>
          <w:rFonts w:cs="Arial"/>
        </w:rPr>
        <w:sectPr w:rsidR="00CF3B2C" w:rsidSect="00633F26">
          <w:headerReference w:type="default" r:id="rId10"/>
          <w:footnotePr>
            <w:numFmt w:val="lowerLetter"/>
          </w:footnotePr>
          <w:endnotePr>
            <w:numFmt w:val="lowerLetter"/>
          </w:endnotePr>
          <w:pgSz w:w="12240" w:h="15840" w:code="1"/>
          <w:pgMar w:top="1440" w:right="1440" w:bottom="1440" w:left="1440" w:header="360" w:footer="1008" w:gutter="0"/>
          <w:cols w:space="720"/>
          <w:titlePg/>
          <w:docGrid w:linePitch="326"/>
        </w:sectPr>
      </w:pPr>
    </w:p>
    <w:p w:rsidR="00314B3B" w:rsidRDefault="00314B3B" w:rsidP="00314B3B">
      <w:pPr>
        <w:pStyle w:val="Footer"/>
      </w:pPr>
    </w:p>
    <w:tbl>
      <w:tblPr>
        <w:tblW w:w="48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546"/>
        <w:gridCol w:w="1074"/>
        <w:gridCol w:w="3504"/>
        <w:gridCol w:w="4715"/>
      </w:tblGrid>
      <w:tr w:rsidR="00314B3B" w:rsidRPr="005E25CA" w:rsidTr="00B04F86">
        <w:trPr>
          <w:tblHeader/>
        </w:trPr>
        <w:tc>
          <w:tcPr>
            <w:tcW w:w="327" w:type="pct"/>
            <w:shd w:val="pct20" w:color="auto" w:fill="auto"/>
          </w:tcPr>
          <w:p w:rsidR="00314B3B" w:rsidRPr="005E25CA" w:rsidRDefault="00314B3B" w:rsidP="00314B3B">
            <w:pPr>
              <w:spacing w:after="0" w:line="240" w:lineRule="auto"/>
              <w:jc w:val="center"/>
              <w:rPr>
                <w:rFonts w:cs="Calibri"/>
                <w:b/>
              </w:rPr>
            </w:pPr>
            <w:r w:rsidRPr="005E25CA">
              <w:rPr>
                <w:rFonts w:cs="Calibri"/>
                <w:b/>
              </w:rPr>
              <w:t>#</w:t>
            </w:r>
          </w:p>
        </w:tc>
        <w:tc>
          <w:tcPr>
            <w:tcW w:w="1005" w:type="pct"/>
            <w:shd w:val="pct20" w:color="auto" w:fill="auto"/>
          </w:tcPr>
          <w:p w:rsidR="00314B3B" w:rsidRPr="005E25CA" w:rsidRDefault="00314B3B" w:rsidP="00314B3B">
            <w:pPr>
              <w:spacing w:after="0" w:line="240" w:lineRule="auto"/>
              <w:jc w:val="center"/>
              <w:rPr>
                <w:rFonts w:cs="Calibri"/>
                <w:b/>
              </w:rPr>
            </w:pPr>
            <w:r>
              <w:rPr>
                <w:rFonts w:cs="Calibri"/>
                <w:b/>
              </w:rPr>
              <w:t>IFB</w:t>
            </w:r>
            <w:r w:rsidRPr="005E25CA">
              <w:rPr>
                <w:rFonts w:cs="Calibri"/>
                <w:b/>
              </w:rPr>
              <w:t xml:space="preserve"> Section</w:t>
            </w:r>
          </w:p>
        </w:tc>
        <w:tc>
          <w:tcPr>
            <w:tcW w:w="424" w:type="pct"/>
            <w:shd w:val="pct20" w:color="auto" w:fill="auto"/>
          </w:tcPr>
          <w:p w:rsidR="00314B3B" w:rsidRPr="005E25CA" w:rsidRDefault="00314B3B" w:rsidP="00314B3B">
            <w:pPr>
              <w:spacing w:after="0" w:line="240" w:lineRule="auto"/>
              <w:jc w:val="center"/>
              <w:rPr>
                <w:rFonts w:cs="Calibri"/>
                <w:b/>
              </w:rPr>
            </w:pPr>
            <w:r>
              <w:rPr>
                <w:rFonts w:cs="Calibri"/>
                <w:b/>
              </w:rPr>
              <w:t>IFB Page</w:t>
            </w:r>
            <w:r w:rsidRPr="005E25CA">
              <w:rPr>
                <w:rFonts w:cs="Calibri"/>
                <w:b/>
              </w:rPr>
              <w:t xml:space="preserve"> #</w:t>
            </w:r>
          </w:p>
        </w:tc>
        <w:tc>
          <w:tcPr>
            <w:tcW w:w="1383" w:type="pct"/>
            <w:shd w:val="pct20" w:color="auto" w:fill="auto"/>
          </w:tcPr>
          <w:p w:rsidR="00314B3B" w:rsidRPr="005E25CA" w:rsidRDefault="00314B3B" w:rsidP="00314B3B">
            <w:pPr>
              <w:spacing w:after="0" w:line="240" w:lineRule="auto"/>
              <w:jc w:val="center"/>
              <w:rPr>
                <w:rFonts w:cs="Calibri"/>
                <w:b/>
              </w:rPr>
            </w:pPr>
            <w:r w:rsidRPr="005E25CA">
              <w:rPr>
                <w:rFonts w:cs="Calibri"/>
                <w:b/>
              </w:rPr>
              <w:t>Question</w:t>
            </w:r>
          </w:p>
        </w:tc>
        <w:tc>
          <w:tcPr>
            <w:tcW w:w="1861" w:type="pct"/>
            <w:shd w:val="pct20" w:color="auto" w:fill="auto"/>
          </w:tcPr>
          <w:p w:rsidR="00314B3B" w:rsidRPr="005E25CA" w:rsidRDefault="00314B3B" w:rsidP="00314B3B">
            <w:pPr>
              <w:spacing w:after="0" w:line="240" w:lineRule="auto"/>
              <w:jc w:val="center"/>
              <w:rPr>
                <w:rFonts w:cs="Calibri"/>
                <w:b/>
              </w:rPr>
            </w:pPr>
            <w:r>
              <w:rPr>
                <w:rFonts w:cs="Calibri"/>
                <w:b/>
              </w:rPr>
              <w:t>Answer</w:t>
            </w:r>
          </w:p>
        </w:tc>
      </w:tr>
      <w:tr w:rsidR="00314B3B" w:rsidRPr="005E25CA" w:rsidTr="00B04F86">
        <w:tc>
          <w:tcPr>
            <w:tcW w:w="327" w:type="pct"/>
          </w:tcPr>
          <w:p w:rsidR="00314B3B" w:rsidRPr="005E25CA" w:rsidRDefault="00314B3B" w:rsidP="00314B3B">
            <w:pPr>
              <w:spacing w:before="240" w:line="240" w:lineRule="auto"/>
              <w:jc w:val="center"/>
              <w:rPr>
                <w:rFonts w:cs="Calibri"/>
              </w:rPr>
            </w:pPr>
            <w:r w:rsidRPr="005E25CA">
              <w:rPr>
                <w:rFonts w:cs="Calibri"/>
              </w:rPr>
              <w:t>1</w:t>
            </w:r>
          </w:p>
        </w:tc>
        <w:tc>
          <w:tcPr>
            <w:tcW w:w="1005" w:type="pct"/>
          </w:tcPr>
          <w:p w:rsidR="00314B3B" w:rsidRDefault="00314B3B" w:rsidP="00314B3B">
            <w:pPr>
              <w:spacing w:before="240" w:line="240" w:lineRule="auto"/>
              <w:rPr>
                <w:rFonts w:cs="Calibri"/>
              </w:rPr>
            </w:pPr>
            <w:r>
              <w:rPr>
                <w:rFonts w:cs="Calibri"/>
              </w:rPr>
              <w:t>I.B.</w:t>
            </w:r>
          </w:p>
          <w:p w:rsidR="00314B3B" w:rsidRPr="005E25CA" w:rsidRDefault="0099304D" w:rsidP="00314B3B">
            <w:pPr>
              <w:spacing w:before="240" w:line="240" w:lineRule="auto"/>
              <w:rPr>
                <w:rFonts w:cs="Calibri"/>
              </w:rPr>
            </w:pPr>
            <w:r>
              <w:rPr>
                <w:rFonts w:cs="Calibri"/>
              </w:rPr>
              <w:t>Currency of Handbook Content/Delivery</w:t>
            </w:r>
            <w:r w:rsidR="00314B3B">
              <w:rPr>
                <w:rFonts w:cs="Calibri"/>
              </w:rPr>
              <w:t>/ Implementation</w:t>
            </w:r>
          </w:p>
        </w:tc>
        <w:tc>
          <w:tcPr>
            <w:tcW w:w="424" w:type="pct"/>
          </w:tcPr>
          <w:p w:rsidR="00314B3B" w:rsidRPr="005E25CA" w:rsidRDefault="00314B3B" w:rsidP="00314B3B">
            <w:pPr>
              <w:spacing w:before="240" w:line="240" w:lineRule="auto"/>
              <w:rPr>
                <w:rFonts w:cs="Calibri"/>
              </w:rPr>
            </w:pPr>
            <w:r>
              <w:rPr>
                <w:rFonts w:cs="Calibri"/>
              </w:rPr>
              <w:t>12</w:t>
            </w:r>
          </w:p>
        </w:tc>
        <w:tc>
          <w:tcPr>
            <w:tcW w:w="1383" w:type="pct"/>
          </w:tcPr>
          <w:p w:rsidR="00314B3B" w:rsidRPr="00B5035D" w:rsidRDefault="00314B3B" w:rsidP="00E94038">
            <w:r w:rsidRPr="00B5035D">
              <w:t>If the Governor of New York signs laws from the previous session in late January or February</w:t>
            </w:r>
            <w:r>
              <w:t xml:space="preserve"> that affect the material in the Tax Law Handbooks</w:t>
            </w:r>
            <w:r w:rsidRPr="00B5035D">
              <w:t>, will there be flexibility with regard to the March 1 delivery date? </w:t>
            </w:r>
          </w:p>
        </w:tc>
        <w:tc>
          <w:tcPr>
            <w:tcW w:w="1861" w:type="pct"/>
          </w:tcPr>
          <w:p w:rsidR="00314B3B" w:rsidRPr="00B5035D" w:rsidRDefault="00314B3B" w:rsidP="00B04F86">
            <w:r w:rsidRPr="002A2593">
              <w:t xml:space="preserve">While DTF would not reject incorporation of a late change to the books if that could be accomplished within the agreed upon timeframes (“by March 1st of the publication year, or no later than 8 weeks after approval of the initial term of  the Contract or any renewal thereof, by OSC, whichever occurs later in time”), DTF’s intent in the IFB was to set a deadline of December 1 of the year preceding publication as the date on which to </w:t>
            </w:r>
            <w:r>
              <w:t>determine</w:t>
            </w:r>
            <w:r w:rsidRPr="002A2593">
              <w:t xml:space="preserve"> currency/accuracy of the information contained in the books.  That is, if the content is accurate per the laws that have been enacted as of December 1 of the year preceding publication, then the publisher has complied with its obligation</w:t>
            </w:r>
            <w:r>
              <w:t>.</w:t>
            </w:r>
          </w:p>
        </w:tc>
      </w:tr>
      <w:tr w:rsidR="00314B3B" w:rsidRPr="000B1A5A" w:rsidTr="00B04F86">
        <w:tc>
          <w:tcPr>
            <w:tcW w:w="327" w:type="pct"/>
          </w:tcPr>
          <w:p w:rsidR="00314B3B" w:rsidRPr="005E25CA" w:rsidRDefault="00314B3B" w:rsidP="00314B3B">
            <w:pPr>
              <w:spacing w:before="240" w:line="240" w:lineRule="auto"/>
              <w:jc w:val="center"/>
              <w:rPr>
                <w:rFonts w:cs="Calibri"/>
              </w:rPr>
            </w:pPr>
            <w:r w:rsidRPr="005E25CA">
              <w:rPr>
                <w:rFonts w:cs="Calibri"/>
              </w:rPr>
              <w:t>2</w:t>
            </w:r>
          </w:p>
        </w:tc>
        <w:tc>
          <w:tcPr>
            <w:tcW w:w="1005" w:type="pct"/>
          </w:tcPr>
          <w:p w:rsidR="00314B3B" w:rsidRDefault="00314B3B" w:rsidP="00314B3B">
            <w:pPr>
              <w:spacing w:before="240" w:line="240" w:lineRule="auto"/>
              <w:rPr>
                <w:rFonts w:cs="Calibri"/>
              </w:rPr>
            </w:pPr>
            <w:r>
              <w:rPr>
                <w:rFonts w:cs="Calibri"/>
              </w:rPr>
              <w:t>Exhibit 1</w:t>
            </w:r>
          </w:p>
          <w:p w:rsidR="00314B3B" w:rsidRPr="005E25CA" w:rsidRDefault="00314B3B" w:rsidP="00314B3B">
            <w:pPr>
              <w:spacing w:before="240" w:line="240" w:lineRule="auto"/>
              <w:rPr>
                <w:rFonts w:cs="Calibri"/>
              </w:rPr>
            </w:pPr>
            <w:r>
              <w:rPr>
                <w:rFonts w:cs="Calibri"/>
              </w:rPr>
              <w:t>Previous Five (5) Annual Orders’ Volume and Page Counts</w:t>
            </w:r>
          </w:p>
        </w:tc>
        <w:tc>
          <w:tcPr>
            <w:tcW w:w="424" w:type="pct"/>
          </w:tcPr>
          <w:p w:rsidR="00314B3B" w:rsidRPr="005E25CA" w:rsidRDefault="00314B3B" w:rsidP="00314B3B">
            <w:pPr>
              <w:spacing w:before="240" w:line="240" w:lineRule="auto"/>
              <w:rPr>
                <w:rFonts w:cs="Calibri"/>
              </w:rPr>
            </w:pPr>
            <w:r>
              <w:rPr>
                <w:rFonts w:cs="Calibri"/>
              </w:rPr>
              <w:t>43</w:t>
            </w:r>
          </w:p>
        </w:tc>
        <w:tc>
          <w:tcPr>
            <w:tcW w:w="1383" w:type="pct"/>
          </w:tcPr>
          <w:p w:rsidR="00314B3B" w:rsidRPr="005E25CA" w:rsidRDefault="00314B3B" w:rsidP="00E94038">
            <w:pPr>
              <w:spacing w:before="240" w:line="240" w:lineRule="auto"/>
              <w:rPr>
                <w:rFonts w:cs="Calibri"/>
              </w:rPr>
            </w:pPr>
            <w:r>
              <w:rPr>
                <w:rFonts w:cs="Calibri"/>
              </w:rPr>
              <w:t>Can you please provide the per-unit prices for the 2016 editions of each of the four Tax Law Handbooks?</w:t>
            </w:r>
          </w:p>
        </w:tc>
        <w:tc>
          <w:tcPr>
            <w:tcW w:w="1861" w:type="pct"/>
          </w:tcPr>
          <w:p w:rsidR="00322D32" w:rsidRDefault="00892042" w:rsidP="00E94038">
            <w:pPr>
              <w:rPr>
                <w:rFonts w:cs="Calibri"/>
              </w:rPr>
            </w:pPr>
            <w:r>
              <w:rPr>
                <w:rFonts w:cs="Calibri"/>
              </w:rPr>
              <w:t>The 2016 edition per-unit pricing is as follows:</w:t>
            </w:r>
          </w:p>
          <w:p w:rsidR="00892042" w:rsidRDefault="00892042" w:rsidP="00892042">
            <w:pPr>
              <w:numPr>
                <w:ilvl w:val="0"/>
                <w:numId w:val="19"/>
              </w:numPr>
              <w:spacing w:before="240" w:line="240" w:lineRule="auto"/>
              <w:contextualSpacing/>
              <w:rPr>
                <w:rFonts w:eastAsia="Times New Roman"/>
              </w:rPr>
            </w:pPr>
            <w:r>
              <w:rPr>
                <w:rFonts w:eastAsia="Times New Roman"/>
              </w:rPr>
              <w:t>NYS Tax Law: $88.59</w:t>
            </w:r>
          </w:p>
          <w:p w:rsidR="00892042" w:rsidRDefault="00892042" w:rsidP="00892042">
            <w:pPr>
              <w:pStyle w:val="ListParagraph"/>
              <w:numPr>
                <w:ilvl w:val="0"/>
                <w:numId w:val="19"/>
              </w:numPr>
              <w:spacing w:before="240" w:line="240" w:lineRule="auto"/>
            </w:pPr>
            <w:r>
              <w:t>NYS Corporation Tax Law and Regulations: $106.29</w:t>
            </w:r>
          </w:p>
          <w:p w:rsidR="00892042" w:rsidRDefault="00892042" w:rsidP="00892042">
            <w:pPr>
              <w:numPr>
                <w:ilvl w:val="0"/>
                <w:numId w:val="19"/>
              </w:numPr>
              <w:spacing w:before="240" w:line="240" w:lineRule="auto"/>
              <w:contextualSpacing/>
              <w:rPr>
                <w:rFonts w:eastAsia="Times New Roman"/>
              </w:rPr>
            </w:pPr>
            <w:r>
              <w:rPr>
                <w:rFonts w:eastAsia="Times New Roman"/>
              </w:rPr>
              <w:t>NYS Personal Income Tax Law and Regulations: $106.29</w:t>
            </w:r>
          </w:p>
          <w:p w:rsidR="00892042" w:rsidRDefault="00892042" w:rsidP="00892042">
            <w:pPr>
              <w:spacing w:before="240" w:line="240" w:lineRule="auto"/>
              <w:ind w:left="720"/>
              <w:contextualSpacing/>
              <w:rPr>
                <w:rFonts w:eastAsia="Times New Roman"/>
              </w:rPr>
            </w:pPr>
          </w:p>
          <w:p w:rsidR="00892042" w:rsidRDefault="00892042" w:rsidP="00892042">
            <w:pPr>
              <w:numPr>
                <w:ilvl w:val="0"/>
                <w:numId w:val="19"/>
              </w:numPr>
              <w:spacing w:before="240" w:line="240" w:lineRule="auto"/>
              <w:contextualSpacing/>
              <w:rPr>
                <w:rFonts w:eastAsia="Times New Roman"/>
              </w:rPr>
            </w:pPr>
            <w:r>
              <w:rPr>
                <w:rFonts w:eastAsia="Times New Roman"/>
              </w:rPr>
              <w:t>NYS Sales and Use Tax Law and Regulations: $106.29</w:t>
            </w:r>
          </w:p>
          <w:p w:rsidR="00892042" w:rsidRPr="00071DAE" w:rsidRDefault="00892042" w:rsidP="00E6063F">
            <w:pPr>
              <w:jc w:val="both"/>
              <w:rPr>
                <w:rFonts w:cs="Calibri"/>
              </w:rPr>
            </w:pPr>
          </w:p>
        </w:tc>
      </w:tr>
      <w:tr w:rsidR="00314B3B" w:rsidRPr="000B1A5A" w:rsidTr="00B04F86">
        <w:tc>
          <w:tcPr>
            <w:tcW w:w="327" w:type="pct"/>
          </w:tcPr>
          <w:p w:rsidR="00314B3B" w:rsidRPr="005E25CA" w:rsidRDefault="00314B3B" w:rsidP="00314B3B">
            <w:pPr>
              <w:spacing w:before="240" w:line="240" w:lineRule="auto"/>
              <w:jc w:val="center"/>
              <w:rPr>
                <w:rFonts w:cs="Calibri"/>
              </w:rPr>
            </w:pPr>
            <w:r>
              <w:rPr>
                <w:rFonts w:cs="Calibri"/>
              </w:rPr>
              <w:lastRenderedPageBreak/>
              <w:t>3</w:t>
            </w:r>
          </w:p>
        </w:tc>
        <w:tc>
          <w:tcPr>
            <w:tcW w:w="1005" w:type="pct"/>
          </w:tcPr>
          <w:p w:rsidR="00314B3B" w:rsidRDefault="00314B3B" w:rsidP="00314B3B">
            <w:pPr>
              <w:spacing w:before="240" w:line="240" w:lineRule="auto"/>
              <w:rPr>
                <w:rFonts w:cs="Calibri"/>
              </w:rPr>
            </w:pPr>
            <w:r>
              <w:rPr>
                <w:rFonts w:cs="Calibri"/>
              </w:rPr>
              <w:t>II.A.1</w:t>
            </w:r>
          </w:p>
          <w:p w:rsidR="00314B3B" w:rsidRDefault="00314B3B" w:rsidP="00314B3B">
            <w:pPr>
              <w:spacing w:before="240" w:line="240" w:lineRule="auto"/>
              <w:rPr>
                <w:rFonts w:cs="Calibri"/>
              </w:rPr>
            </w:pPr>
            <w:r>
              <w:rPr>
                <w:rFonts w:cs="Calibri"/>
              </w:rPr>
              <w:t>Mandatory Technical Requirements, Tax Law Handbook Technical Requirements, NYS Tax Law</w:t>
            </w:r>
          </w:p>
        </w:tc>
        <w:tc>
          <w:tcPr>
            <w:tcW w:w="424" w:type="pct"/>
          </w:tcPr>
          <w:p w:rsidR="00314B3B" w:rsidRDefault="00314B3B" w:rsidP="00314B3B">
            <w:pPr>
              <w:spacing w:before="240" w:line="240" w:lineRule="auto"/>
              <w:rPr>
                <w:rFonts w:cs="Calibri"/>
              </w:rPr>
            </w:pPr>
            <w:r>
              <w:rPr>
                <w:rFonts w:cs="Calibri"/>
              </w:rPr>
              <w:t>13</w:t>
            </w:r>
          </w:p>
        </w:tc>
        <w:tc>
          <w:tcPr>
            <w:tcW w:w="1383" w:type="pct"/>
          </w:tcPr>
          <w:p w:rsidR="00314B3B" w:rsidRDefault="00314B3B" w:rsidP="003A2867">
            <w:pPr>
              <w:spacing w:before="240" w:line="240" w:lineRule="auto"/>
              <w:rPr>
                <w:rFonts w:cs="Calibri"/>
              </w:rPr>
            </w:pPr>
            <w:r>
              <w:rPr>
                <w:rFonts w:cs="Calibri"/>
              </w:rPr>
              <w:t>Can you please provide an exact list of articles and sections required from the Administrative Code of the City of New York for the “NYS Tax Law” publication?</w:t>
            </w:r>
          </w:p>
        </w:tc>
        <w:tc>
          <w:tcPr>
            <w:tcW w:w="1861" w:type="pct"/>
          </w:tcPr>
          <w:p w:rsidR="00314B3B" w:rsidRPr="00454E1A" w:rsidRDefault="00314B3B" w:rsidP="003A2867">
            <w:pPr>
              <w:spacing w:before="240" w:line="240" w:lineRule="auto"/>
              <w:rPr>
                <w:rFonts w:cs="Calibri"/>
              </w:rPr>
            </w:pPr>
            <w:r w:rsidRPr="00454E1A">
              <w:rPr>
                <w:rFonts w:cs="Calibri"/>
              </w:rPr>
              <w:t>NYC Admin Code Title 11 Taxation and Finance Chapter</w:t>
            </w:r>
            <w:r>
              <w:rPr>
                <w:rFonts w:cs="Calibri"/>
              </w:rPr>
              <w:t>s</w:t>
            </w:r>
            <w:r w:rsidR="0099304D">
              <w:rPr>
                <w:rFonts w:cs="Calibri"/>
              </w:rPr>
              <w:t xml:space="preserve"> 1, 5, 6, 7, 17, 20, 21, 25</w:t>
            </w:r>
            <w:r w:rsidRPr="00454E1A">
              <w:rPr>
                <w:rFonts w:cs="Calibri"/>
              </w:rPr>
              <w:t xml:space="preserve"> </w:t>
            </w:r>
            <w:r>
              <w:rPr>
                <w:rFonts w:cs="Calibri"/>
              </w:rPr>
              <w:t xml:space="preserve">and </w:t>
            </w:r>
            <w:r w:rsidRPr="00454E1A">
              <w:rPr>
                <w:rFonts w:cs="Calibri"/>
              </w:rPr>
              <w:t>26</w:t>
            </w:r>
            <w:r>
              <w:rPr>
                <w:rFonts w:cs="Calibri"/>
              </w:rPr>
              <w:t>.</w:t>
            </w:r>
          </w:p>
          <w:p w:rsidR="00314B3B" w:rsidRDefault="00314B3B" w:rsidP="003A2867">
            <w:pPr>
              <w:spacing w:before="240" w:line="240" w:lineRule="auto"/>
              <w:rPr>
                <w:rFonts w:cs="Calibri"/>
              </w:rPr>
            </w:pPr>
            <w:r w:rsidRPr="00454E1A">
              <w:rPr>
                <w:rFonts w:cs="Calibri"/>
              </w:rPr>
              <w:t>NYC Admin Code Title 20 Consumer Affairs Chapter 2</w:t>
            </w:r>
            <w:r>
              <w:rPr>
                <w:rFonts w:cs="Calibri"/>
              </w:rPr>
              <w:t>.</w:t>
            </w:r>
          </w:p>
          <w:p w:rsidR="00547E5E" w:rsidRDefault="003A2867" w:rsidP="003A2867">
            <w:pPr>
              <w:spacing w:before="240" w:line="240" w:lineRule="auto"/>
              <w:rPr>
                <w:rFonts w:cs="Calibri"/>
              </w:rPr>
            </w:pPr>
            <w:r>
              <w:rPr>
                <w:rFonts w:cs="Calibri"/>
              </w:rPr>
              <w:t>(See Amendment #1)</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t>4</w:t>
            </w:r>
          </w:p>
        </w:tc>
        <w:tc>
          <w:tcPr>
            <w:tcW w:w="1005" w:type="pct"/>
          </w:tcPr>
          <w:p w:rsidR="00314B3B" w:rsidRDefault="00314B3B" w:rsidP="00314B3B">
            <w:pPr>
              <w:spacing w:before="240" w:line="240" w:lineRule="auto"/>
              <w:rPr>
                <w:rFonts w:cs="Calibri"/>
              </w:rPr>
            </w:pPr>
            <w:r>
              <w:rPr>
                <w:rFonts w:cs="Calibri"/>
              </w:rPr>
              <w:t>II.A.2</w:t>
            </w:r>
          </w:p>
          <w:p w:rsidR="00314B3B" w:rsidRDefault="00314B3B" w:rsidP="009720F6">
            <w:pPr>
              <w:spacing w:before="240" w:line="240" w:lineRule="auto"/>
              <w:rPr>
                <w:rFonts w:cs="Calibri"/>
              </w:rPr>
            </w:pPr>
            <w:r>
              <w:rPr>
                <w:rFonts w:cs="Calibri"/>
              </w:rPr>
              <w:t>Mandatory Technical Requirements, Tax Law Handbook Technical Requirements, NYS Corporation Tax Law and Regulations</w:t>
            </w:r>
          </w:p>
        </w:tc>
        <w:tc>
          <w:tcPr>
            <w:tcW w:w="424" w:type="pct"/>
          </w:tcPr>
          <w:p w:rsidR="00314B3B" w:rsidRDefault="00314B3B" w:rsidP="00314B3B">
            <w:pPr>
              <w:spacing w:before="240" w:line="240" w:lineRule="auto"/>
              <w:rPr>
                <w:rFonts w:cs="Calibri"/>
              </w:rPr>
            </w:pPr>
            <w:r>
              <w:rPr>
                <w:rFonts w:cs="Calibri"/>
              </w:rPr>
              <w:t>14</w:t>
            </w:r>
          </w:p>
        </w:tc>
        <w:tc>
          <w:tcPr>
            <w:tcW w:w="1383" w:type="pct"/>
          </w:tcPr>
          <w:p w:rsidR="00314B3B" w:rsidRDefault="00314B3B" w:rsidP="003A2867">
            <w:pPr>
              <w:spacing w:before="240" w:line="240" w:lineRule="auto"/>
              <w:rPr>
                <w:rFonts w:cs="Calibri"/>
              </w:rPr>
            </w:pPr>
            <w:r>
              <w:rPr>
                <w:rFonts w:cs="Calibri"/>
              </w:rPr>
              <w:t>Can you please provide an exact list of articles and sections required from the New York Codes, Rules &amp; Regulations for the “NYS Corporation Tax Law and Regulations” publication?</w:t>
            </w:r>
          </w:p>
        </w:tc>
        <w:tc>
          <w:tcPr>
            <w:tcW w:w="1861" w:type="pct"/>
          </w:tcPr>
          <w:p w:rsidR="00314B3B" w:rsidRPr="00454E1A" w:rsidRDefault="00314B3B" w:rsidP="003A2867">
            <w:pPr>
              <w:spacing w:before="240" w:line="240" w:lineRule="auto"/>
              <w:rPr>
                <w:rFonts w:cs="Calibri"/>
              </w:rPr>
            </w:pPr>
            <w:r>
              <w:rPr>
                <w:rFonts w:cs="Calibri"/>
              </w:rPr>
              <w:t>Title 20 NYCRR</w:t>
            </w:r>
            <w:r w:rsidRPr="00454E1A">
              <w:rPr>
                <w:rFonts w:cs="Calibri"/>
              </w:rPr>
              <w:t xml:space="preserve"> Chapter 1 Franchi</w:t>
            </w:r>
            <w:r>
              <w:rPr>
                <w:rFonts w:cs="Calibri"/>
              </w:rPr>
              <w:t>se and Certain Business Taxes.</w:t>
            </w:r>
          </w:p>
          <w:p w:rsidR="00314B3B" w:rsidRDefault="00314B3B" w:rsidP="003A2867">
            <w:pPr>
              <w:spacing w:before="240" w:line="240" w:lineRule="auto"/>
              <w:rPr>
                <w:rFonts w:cs="Calibri"/>
              </w:rPr>
            </w:pPr>
            <w:r w:rsidRPr="00454E1A">
              <w:rPr>
                <w:rFonts w:cs="Calibri"/>
              </w:rPr>
              <w:t xml:space="preserve">Title 20 </w:t>
            </w:r>
            <w:r>
              <w:rPr>
                <w:rFonts w:cs="Calibri"/>
              </w:rPr>
              <w:t xml:space="preserve">NYCRR </w:t>
            </w:r>
            <w:r w:rsidRPr="00454E1A">
              <w:rPr>
                <w:rFonts w:cs="Calibri"/>
              </w:rPr>
              <w:t>Chapter IX Procedural Regulations Part</w:t>
            </w:r>
            <w:r>
              <w:rPr>
                <w:rFonts w:cs="Calibri"/>
              </w:rPr>
              <w:t>s</w:t>
            </w:r>
            <w:r w:rsidRPr="00454E1A">
              <w:rPr>
                <w:rFonts w:cs="Calibri"/>
              </w:rPr>
              <w:t xml:space="preserve"> 2500.1 through 2500.7</w:t>
            </w:r>
            <w:r>
              <w:rPr>
                <w:rFonts w:cs="Calibri"/>
              </w:rPr>
              <w:t>.</w:t>
            </w:r>
            <w:r w:rsidRPr="00454E1A">
              <w:rPr>
                <w:rFonts w:cs="Calibri"/>
              </w:rPr>
              <w:t xml:space="preserve"> </w:t>
            </w:r>
          </w:p>
          <w:p w:rsidR="00547E5E" w:rsidRDefault="003A2867" w:rsidP="003A2867">
            <w:pPr>
              <w:spacing w:before="240" w:line="240" w:lineRule="auto"/>
              <w:rPr>
                <w:rFonts w:cs="Calibri"/>
              </w:rPr>
            </w:pPr>
            <w:r>
              <w:rPr>
                <w:rFonts w:cs="Calibri"/>
              </w:rPr>
              <w:t>(See Amendment #1)</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t>5</w:t>
            </w:r>
          </w:p>
        </w:tc>
        <w:tc>
          <w:tcPr>
            <w:tcW w:w="1005" w:type="pct"/>
          </w:tcPr>
          <w:p w:rsidR="00314B3B" w:rsidRDefault="00314B3B" w:rsidP="00314B3B">
            <w:pPr>
              <w:spacing w:before="240" w:line="240" w:lineRule="auto"/>
              <w:rPr>
                <w:rFonts w:cs="Calibri"/>
              </w:rPr>
            </w:pPr>
            <w:r>
              <w:rPr>
                <w:rFonts w:cs="Calibri"/>
              </w:rPr>
              <w:t>II.A.3</w:t>
            </w:r>
          </w:p>
          <w:p w:rsidR="00314B3B" w:rsidRDefault="00314B3B" w:rsidP="00314B3B">
            <w:pPr>
              <w:spacing w:before="240" w:line="240" w:lineRule="auto"/>
              <w:rPr>
                <w:rFonts w:cs="Calibri"/>
              </w:rPr>
            </w:pPr>
            <w:r>
              <w:rPr>
                <w:rFonts w:cs="Calibri"/>
              </w:rPr>
              <w:t>Mandatory Technical Requirements, Tax Law Handbook Technical Requirements, NYS Personal Income Tax Law and Regulations</w:t>
            </w:r>
          </w:p>
        </w:tc>
        <w:tc>
          <w:tcPr>
            <w:tcW w:w="424" w:type="pct"/>
          </w:tcPr>
          <w:p w:rsidR="00314B3B" w:rsidRDefault="00314B3B" w:rsidP="00314B3B">
            <w:pPr>
              <w:spacing w:before="240" w:line="240" w:lineRule="auto"/>
              <w:rPr>
                <w:rFonts w:cs="Calibri"/>
              </w:rPr>
            </w:pPr>
            <w:r>
              <w:rPr>
                <w:rFonts w:cs="Calibri"/>
              </w:rPr>
              <w:t>14</w:t>
            </w:r>
          </w:p>
        </w:tc>
        <w:tc>
          <w:tcPr>
            <w:tcW w:w="1383" w:type="pct"/>
          </w:tcPr>
          <w:p w:rsidR="00314B3B" w:rsidRDefault="00314B3B" w:rsidP="003A2867">
            <w:pPr>
              <w:spacing w:before="240" w:line="240" w:lineRule="auto"/>
              <w:rPr>
                <w:rFonts w:cs="Calibri"/>
              </w:rPr>
            </w:pPr>
            <w:r>
              <w:rPr>
                <w:rFonts w:cs="Calibri"/>
              </w:rPr>
              <w:t>Can you please provide an exact list of articles and sections required from the New York Codes, Rules &amp; Regulations and the Administrative Code of the City of New York for the “</w:t>
            </w:r>
            <w:r w:rsidRPr="004103FD">
              <w:rPr>
                <w:rFonts w:cs="Calibri"/>
              </w:rPr>
              <w:t>NYS Personal Income Tax</w:t>
            </w:r>
            <w:r>
              <w:rPr>
                <w:rFonts w:cs="Calibri"/>
              </w:rPr>
              <w:t xml:space="preserve"> Law and Regulations” publication?</w:t>
            </w:r>
          </w:p>
        </w:tc>
        <w:tc>
          <w:tcPr>
            <w:tcW w:w="1861" w:type="pct"/>
          </w:tcPr>
          <w:p w:rsidR="00314B3B" w:rsidRPr="00D22B09" w:rsidRDefault="00314B3B" w:rsidP="003A2867">
            <w:pPr>
              <w:spacing w:before="240" w:line="240" w:lineRule="auto"/>
              <w:rPr>
                <w:rFonts w:cs="Calibri"/>
              </w:rPr>
            </w:pPr>
            <w:r w:rsidRPr="00D22B09">
              <w:rPr>
                <w:rFonts w:cs="Calibri"/>
              </w:rPr>
              <w:t xml:space="preserve">Title 20 NYCRR Chapter I </w:t>
            </w:r>
            <w:r w:rsidRPr="004103FD">
              <w:rPr>
                <w:rFonts w:cs="Calibri"/>
              </w:rPr>
              <w:t>Franchise and Certain Business Taxes</w:t>
            </w:r>
            <w:r w:rsidRPr="00D22B09">
              <w:rPr>
                <w:rFonts w:cs="Calibri"/>
              </w:rPr>
              <w:t xml:space="preserve"> Parts 1 </w:t>
            </w:r>
            <w:r>
              <w:rPr>
                <w:rFonts w:cs="Calibri"/>
              </w:rPr>
              <w:t>-</w:t>
            </w:r>
            <w:r w:rsidRPr="00D22B09">
              <w:rPr>
                <w:rFonts w:cs="Calibri"/>
              </w:rPr>
              <w:t xml:space="preserve"> 8, </w:t>
            </w:r>
            <w:r>
              <w:rPr>
                <w:rFonts w:cs="Calibri"/>
              </w:rPr>
              <w:t xml:space="preserve">and </w:t>
            </w:r>
            <w:r w:rsidRPr="00D22B09">
              <w:rPr>
                <w:rFonts w:cs="Calibri"/>
              </w:rPr>
              <w:t>Parts 36-39</w:t>
            </w:r>
            <w:r>
              <w:rPr>
                <w:rFonts w:cs="Calibri"/>
              </w:rPr>
              <w:t>.</w:t>
            </w:r>
            <w:r w:rsidRPr="00D22B09">
              <w:rPr>
                <w:rFonts w:cs="Calibri"/>
              </w:rPr>
              <w:t xml:space="preserve"> </w:t>
            </w:r>
          </w:p>
          <w:p w:rsidR="00314B3B" w:rsidRDefault="00314B3B" w:rsidP="003A2867">
            <w:pPr>
              <w:spacing w:before="240" w:line="240" w:lineRule="auto"/>
              <w:rPr>
                <w:rFonts w:cs="Calibri"/>
              </w:rPr>
            </w:pPr>
            <w:r w:rsidRPr="00D22B09">
              <w:rPr>
                <w:rFonts w:cs="Calibri"/>
              </w:rPr>
              <w:t>Title 20 NYCRR Chapter II Income Taxes and Esta</w:t>
            </w:r>
            <w:r w:rsidR="0099304D">
              <w:rPr>
                <w:rFonts w:cs="Calibri"/>
              </w:rPr>
              <w:t>te Taxes subchapters A, C, D, E</w:t>
            </w:r>
            <w:r w:rsidRPr="00D22B09">
              <w:rPr>
                <w:rFonts w:cs="Calibri"/>
              </w:rPr>
              <w:t xml:space="preserve"> </w:t>
            </w:r>
            <w:r>
              <w:rPr>
                <w:rFonts w:cs="Calibri"/>
              </w:rPr>
              <w:t xml:space="preserve">and </w:t>
            </w:r>
            <w:r w:rsidRPr="00D22B09">
              <w:rPr>
                <w:rFonts w:cs="Calibri"/>
              </w:rPr>
              <w:t xml:space="preserve">F. </w:t>
            </w:r>
          </w:p>
          <w:p w:rsidR="00314B3B" w:rsidRPr="00D22B09" w:rsidRDefault="00314B3B" w:rsidP="003A2867">
            <w:pPr>
              <w:spacing w:before="240" w:line="240" w:lineRule="auto"/>
              <w:rPr>
                <w:rFonts w:cs="Calibri"/>
              </w:rPr>
            </w:pPr>
            <w:r>
              <w:rPr>
                <w:rFonts w:cs="Calibri"/>
              </w:rPr>
              <w:t xml:space="preserve">Title 20 NYCRR </w:t>
            </w:r>
            <w:r w:rsidRPr="00D22B09">
              <w:rPr>
                <w:rFonts w:cs="Calibri"/>
              </w:rPr>
              <w:t>Chapter V Public Access to Records</w:t>
            </w:r>
            <w:r>
              <w:rPr>
                <w:rFonts w:cs="Calibri"/>
              </w:rPr>
              <w:t xml:space="preserve">, Chapter </w:t>
            </w:r>
            <w:r w:rsidRPr="00D22B09">
              <w:rPr>
                <w:rFonts w:cs="Calibri"/>
              </w:rPr>
              <w:t>VI</w:t>
            </w:r>
            <w:r>
              <w:rPr>
                <w:rFonts w:cs="Calibri"/>
              </w:rPr>
              <w:t xml:space="preserve"> </w:t>
            </w:r>
            <w:r w:rsidRPr="00D22B09">
              <w:rPr>
                <w:rFonts w:cs="Calibri"/>
              </w:rPr>
              <w:t xml:space="preserve">Communications of the Division of Taxation and Finance, </w:t>
            </w:r>
            <w:r>
              <w:rPr>
                <w:rFonts w:cs="Calibri"/>
              </w:rPr>
              <w:t xml:space="preserve">Chapter </w:t>
            </w:r>
            <w:r w:rsidRPr="00D22B09">
              <w:rPr>
                <w:rFonts w:cs="Calibri"/>
              </w:rPr>
              <w:t xml:space="preserve">XI Tax Appeals Tribunal, </w:t>
            </w:r>
            <w:r>
              <w:rPr>
                <w:rFonts w:cs="Calibri"/>
              </w:rPr>
              <w:t xml:space="preserve">Chapter </w:t>
            </w:r>
            <w:r w:rsidRPr="00D22B09">
              <w:rPr>
                <w:rFonts w:cs="Calibri"/>
              </w:rPr>
              <w:t>XII</w:t>
            </w:r>
            <w:r>
              <w:rPr>
                <w:rFonts w:cs="Calibri"/>
              </w:rPr>
              <w:t xml:space="preserve"> </w:t>
            </w:r>
            <w:r w:rsidRPr="00D22B09">
              <w:rPr>
                <w:rFonts w:cs="Calibri"/>
              </w:rPr>
              <w:t>Bureau of Conc</w:t>
            </w:r>
            <w:r w:rsidR="0099304D">
              <w:rPr>
                <w:rFonts w:cs="Calibri"/>
              </w:rPr>
              <w:t>iliation and Mediation Services</w:t>
            </w:r>
            <w:r>
              <w:rPr>
                <w:rFonts w:cs="Calibri"/>
              </w:rPr>
              <w:t xml:space="preserve"> and</w:t>
            </w:r>
            <w:r w:rsidRPr="00D22B09">
              <w:rPr>
                <w:rFonts w:cs="Calibri"/>
              </w:rPr>
              <w:t xml:space="preserve"> </w:t>
            </w:r>
            <w:r>
              <w:rPr>
                <w:rFonts w:cs="Calibri"/>
              </w:rPr>
              <w:t xml:space="preserve">Chapter </w:t>
            </w:r>
            <w:r w:rsidRPr="00D22B09">
              <w:rPr>
                <w:rFonts w:cs="Calibri"/>
              </w:rPr>
              <w:lastRenderedPageBreak/>
              <w:t>XIII</w:t>
            </w:r>
            <w:r>
              <w:rPr>
                <w:rFonts w:cs="Calibri"/>
              </w:rPr>
              <w:t xml:space="preserve"> </w:t>
            </w:r>
            <w:r w:rsidRPr="00D22B09">
              <w:rPr>
                <w:rFonts w:cs="Calibri"/>
              </w:rPr>
              <w:t>Compromises</w:t>
            </w:r>
            <w:r>
              <w:rPr>
                <w:rFonts w:cs="Calibri"/>
              </w:rPr>
              <w:t>.</w:t>
            </w:r>
            <w:r w:rsidRPr="00D22B09">
              <w:rPr>
                <w:rFonts w:cs="Calibri"/>
              </w:rPr>
              <w:t xml:space="preserve"> </w:t>
            </w:r>
          </w:p>
          <w:p w:rsidR="00314B3B" w:rsidRDefault="00314B3B" w:rsidP="003A2867">
            <w:pPr>
              <w:spacing w:before="240" w:line="240" w:lineRule="auto"/>
              <w:rPr>
                <w:rFonts w:cs="Calibri"/>
              </w:rPr>
            </w:pPr>
            <w:r w:rsidRPr="00D22B09">
              <w:rPr>
                <w:rFonts w:cs="Calibri"/>
              </w:rPr>
              <w:t>NYC Department of Finance Rules &amp; Regulations Title 19 Department of Finance Chapter 28 and 29</w:t>
            </w:r>
            <w:r>
              <w:rPr>
                <w:rFonts w:cs="Calibri"/>
              </w:rPr>
              <w:t>.</w:t>
            </w:r>
          </w:p>
          <w:p w:rsidR="00547E5E" w:rsidRDefault="003A2867" w:rsidP="003A2867">
            <w:pPr>
              <w:spacing w:before="240" w:line="240" w:lineRule="auto"/>
              <w:rPr>
                <w:rFonts w:cs="Calibri"/>
              </w:rPr>
            </w:pPr>
            <w:r>
              <w:rPr>
                <w:rFonts w:cs="Calibri"/>
              </w:rPr>
              <w:t>(See Amendment #1)</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lastRenderedPageBreak/>
              <w:t>6</w:t>
            </w:r>
          </w:p>
        </w:tc>
        <w:tc>
          <w:tcPr>
            <w:tcW w:w="1005" w:type="pct"/>
          </w:tcPr>
          <w:p w:rsidR="00314B3B" w:rsidRDefault="00314B3B" w:rsidP="00314B3B">
            <w:pPr>
              <w:spacing w:before="240" w:line="240" w:lineRule="auto"/>
              <w:rPr>
                <w:rFonts w:cs="Calibri"/>
              </w:rPr>
            </w:pPr>
            <w:r>
              <w:rPr>
                <w:rFonts w:cs="Calibri"/>
              </w:rPr>
              <w:t>II.A.4</w:t>
            </w:r>
          </w:p>
          <w:p w:rsidR="00314B3B" w:rsidRDefault="00314B3B" w:rsidP="00314B3B">
            <w:pPr>
              <w:spacing w:before="240" w:line="240" w:lineRule="auto"/>
              <w:rPr>
                <w:rFonts w:cs="Calibri"/>
              </w:rPr>
            </w:pPr>
            <w:r>
              <w:rPr>
                <w:rFonts w:cs="Calibri"/>
              </w:rPr>
              <w:t>Mandatory Technical Requirements, Tax Law Handbook Technical Requirements, NYS Sales and Use Tax Law and Regulations</w:t>
            </w:r>
          </w:p>
        </w:tc>
        <w:tc>
          <w:tcPr>
            <w:tcW w:w="424" w:type="pct"/>
          </w:tcPr>
          <w:p w:rsidR="00314B3B" w:rsidRDefault="00314B3B" w:rsidP="00314B3B">
            <w:pPr>
              <w:spacing w:before="240" w:line="240" w:lineRule="auto"/>
              <w:rPr>
                <w:rFonts w:cs="Calibri"/>
              </w:rPr>
            </w:pPr>
            <w:r>
              <w:rPr>
                <w:rFonts w:cs="Calibri"/>
              </w:rPr>
              <w:t>15</w:t>
            </w:r>
          </w:p>
        </w:tc>
        <w:tc>
          <w:tcPr>
            <w:tcW w:w="1383" w:type="pct"/>
          </w:tcPr>
          <w:p w:rsidR="00314B3B" w:rsidRDefault="00314B3B" w:rsidP="003A2867">
            <w:pPr>
              <w:spacing w:before="240" w:line="240" w:lineRule="auto"/>
              <w:rPr>
                <w:rFonts w:cs="Calibri"/>
              </w:rPr>
            </w:pPr>
            <w:r>
              <w:rPr>
                <w:rFonts w:cs="Calibri"/>
              </w:rPr>
              <w:t>Can you please provide an exact list of articles and sections required from the New York Codes, Rules &amp; Regulations for the “NYS Sales and Use Tax Law and Regulations” publication?</w:t>
            </w:r>
          </w:p>
        </w:tc>
        <w:tc>
          <w:tcPr>
            <w:tcW w:w="1861" w:type="pct"/>
          </w:tcPr>
          <w:p w:rsidR="00314B3B" w:rsidRDefault="00314B3B" w:rsidP="003A2867">
            <w:pPr>
              <w:spacing w:before="240" w:line="240" w:lineRule="auto"/>
              <w:rPr>
                <w:rFonts w:cs="Calibri"/>
              </w:rPr>
            </w:pPr>
            <w:r>
              <w:rPr>
                <w:rFonts w:cs="Calibri"/>
              </w:rPr>
              <w:t>The articles and sections required from Title 20 of the NYCRR in include:</w:t>
            </w:r>
          </w:p>
          <w:p w:rsidR="00314B3B" w:rsidRDefault="00314B3B" w:rsidP="003A2867">
            <w:pPr>
              <w:spacing w:before="240" w:line="240" w:lineRule="auto"/>
              <w:rPr>
                <w:rFonts w:cs="Calibri"/>
              </w:rPr>
            </w:pPr>
            <w:r w:rsidRPr="00D22B09">
              <w:rPr>
                <w:rFonts w:cs="Calibri"/>
              </w:rPr>
              <w:t xml:space="preserve">Chapter IV Sales and Use and Other Miscellaneous, Chapter VI </w:t>
            </w:r>
            <w:r w:rsidRPr="00647CE1">
              <w:rPr>
                <w:rFonts w:cs="Calibri"/>
              </w:rPr>
              <w:t>Communications of the Division of Taxation and Finance,</w:t>
            </w:r>
            <w:r w:rsidRPr="00D22B09">
              <w:rPr>
                <w:rFonts w:cs="Calibri"/>
              </w:rPr>
              <w:t xml:space="preserve"> Chapter IX Procedural Regulations, Chapter XI Tax Appeals Tribunal, Cha</w:t>
            </w:r>
            <w:r w:rsidR="0099304D">
              <w:rPr>
                <w:rFonts w:cs="Calibri"/>
              </w:rPr>
              <w:t>pter XII Bureau of Conciliation</w:t>
            </w:r>
            <w:r w:rsidRPr="00D22B09">
              <w:rPr>
                <w:rFonts w:cs="Calibri"/>
              </w:rPr>
              <w:t xml:space="preserve"> </w:t>
            </w:r>
            <w:r>
              <w:rPr>
                <w:rFonts w:cs="Calibri"/>
              </w:rPr>
              <w:t xml:space="preserve">and </w:t>
            </w:r>
            <w:r w:rsidRPr="00D22B09">
              <w:rPr>
                <w:rFonts w:cs="Calibri"/>
              </w:rPr>
              <w:t>Chapter XIII Compromises</w:t>
            </w:r>
            <w:r>
              <w:rPr>
                <w:rFonts w:cs="Calibri"/>
              </w:rPr>
              <w:t xml:space="preserve">.  </w:t>
            </w:r>
          </w:p>
          <w:p w:rsidR="00547E5E" w:rsidRDefault="003A2867" w:rsidP="003A2867">
            <w:pPr>
              <w:spacing w:before="240" w:line="240" w:lineRule="auto"/>
              <w:rPr>
                <w:rFonts w:cs="Calibri"/>
              </w:rPr>
            </w:pPr>
            <w:r>
              <w:rPr>
                <w:rFonts w:cs="Calibri"/>
              </w:rPr>
              <w:t>(See Amendment #1)</w:t>
            </w:r>
          </w:p>
          <w:p w:rsidR="00314B3B" w:rsidRDefault="00314B3B" w:rsidP="003A2867">
            <w:pPr>
              <w:spacing w:before="240" w:line="240" w:lineRule="auto"/>
              <w:rPr>
                <w:rFonts w:cs="Calibri"/>
              </w:rPr>
            </w:pPr>
            <w:r>
              <w:rPr>
                <w:rFonts w:cs="Calibri"/>
              </w:rPr>
              <w:t>Additionally, DTF requires inclusion of all NYS and NYC laws specifically enumerated in IFB section II.A.4.</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t>7</w:t>
            </w:r>
          </w:p>
        </w:tc>
        <w:tc>
          <w:tcPr>
            <w:tcW w:w="1005" w:type="pct"/>
          </w:tcPr>
          <w:p w:rsidR="00314B3B" w:rsidRDefault="00314B3B" w:rsidP="00314B3B">
            <w:pPr>
              <w:spacing w:before="240" w:line="240" w:lineRule="auto"/>
              <w:rPr>
                <w:rFonts w:cs="Calibri"/>
              </w:rPr>
            </w:pPr>
            <w:r>
              <w:rPr>
                <w:rFonts w:cs="Calibri"/>
              </w:rPr>
              <w:t>II.A.</w:t>
            </w:r>
          </w:p>
          <w:p w:rsidR="00314B3B" w:rsidRDefault="00314B3B" w:rsidP="00314B3B">
            <w:pPr>
              <w:spacing w:before="240" w:line="240" w:lineRule="auto"/>
              <w:rPr>
                <w:rFonts w:cs="Calibri"/>
              </w:rPr>
            </w:pPr>
            <w:r>
              <w:rPr>
                <w:rFonts w:cs="Calibri"/>
              </w:rPr>
              <w:t>Mandatory Technical Requirements, Tax Law Handbook Technical Requirements</w:t>
            </w:r>
          </w:p>
        </w:tc>
        <w:tc>
          <w:tcPr>
            <w:tcW w:w="424" w:type="pct"/>
          </w:tcPr>
          <w:p w:rsidR="00314B3B" w:rsidRDefault="00314B3B" w:rsidP="00314B3B">
            <w:pPr>
              <w:spacing w:before="240" w:line="240" w:lineRule="auto"/>
              <w:rPr>
                <w:rFonts w:cs="Calibri"/>
              </w:rPr>
            </w:pPr>
            <w:r>
              <w:rPr>
                <w:rFonts w:cs="Calibri"/>
              </w:rPr>
              <w:t>13</w:t>
            </w:r>
          </w:p>
        </w:tc>
        <w:tc>
          <w:tcPr>
            <w:tcW w:w="1383" w:type="pct"/>
          </w:tcPr>
          <w:p w:rsidR="00314B3B" w:rsidRDefault="00314B3B" w:rsidP="003A2867">
            <w:pPr>
              <w:spacing w:before="240" w:line="240" w:lineRule="auto"/>
              <w:rPr>
                <w:rFonts w:cs="Calibri"/>
              </w:rPr>
            </w:pPr>
            <w:r>
              <w:rPr>
                <w:rFonts w:cs="Calibri"/>
              </w:rPr>
              <w:t>Can you please confirm that surrogate court forms will not be required in any of the Tax Law Handbooks?</w:t>
            </w:r>
          </w:p>
        </w:tc>
        <w:tc>
          <w:tcPr>
            <w:tcW w:w="1861" w:type="pct"/>
          </w:tcPr>
          <w:p w:rsidR="00314B3B" w:rsidRDefault="00314B3B" w:rsidP="003A2867">
            <w:pPr>
              <w:spacing w:before="240" w:line="240" w:lineRule="auto"/>
              <w:rPr>
                <w:rFonts w:cs="Calibri"/>
              </w:rPr>
            </w:pPr>
            <w:r>
              <w:rPr>
                <w:rFonts w:cs="Calibri"/>
              </w:rPr>
              <w:t>Confirmed, surrogates court forms are not required.</w:t>
            </w:r>
          </w:p>
          <w:p w:rsidR="00314B3B" w:rsidRDefault="00314B3B" w:rsidP="003A2867">
            <w:pPr>
              <w:spacing w:before="240" w:line="240" w:lineRule="auto"/>
              <w:rPr>
                <w:rFonts w:cs="Calibri"/>
              </w:rPr>
            </w:pP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lastRenderedPageBreak/>
              <w:t>8</w:t>
            </w:r>
          </w:p>
        </w:tc>
        <w:tc>
          <w:tcPr>
            <w:tcW w:w="1005" w:type="pct"/>
          </w:tcPr>
          <w:p w:rsidR="00314B3B" w:rsidRDefault="00314B3B" w:rsidP="00314B3B">
            <w:pPr>
              <w:spacing w:before="240" w:line="240" w:lineRule="auto"/>
              <w:rPr>
                <w:rFonts w:cs="Calibri"/>
              </w:rPr>
            </w:pPr>
            <w:r>
              <w:rPr>
                <w:rFonts w:cs="Calibri"/>
              </w:rPr>
              <w:t>N/A</w:t>
            </w:r>
          </w:p>
        </w:tc>
        <w:tc>
          <w:tcPr>
            <w:tcW w:w="424" w:type="pct"/>
          </w:tcPr>
          <w:p w:rsidR="00314B3B" w:rsidRDefault="00314B3B" w:rsidP="00314B3B">
            <w:pPr>
              <w:spacing w:before="240" w:line="240" w:lineRule="auto"/>
              <w:rPr>
                <w:rFonts w:cs="Calibri"/>
              </w:rPr>
            </w:pPr>
            <w:r>
              <w:rPr>
                <w:rFonts w:cs="Calibri"/>
              </w:rPr>
              <w:t>N/A</w:t>
            </w:r>
          </w:p>
        </w:tc>
        <w:tc>
          <w:tcPr>
            <w:tcW w:w="1383" w:type="pct"/>
          </w:tcPr>
          <w:p w:rsidR="00314B3B" w:rsidRDefault="00314B3B" w:rsidP="003A2867">
            <w:pPr>
              <w:spacing w:before="240" w:line="240" w:lineRule="auto"/>
              <w:rPr>
                <w:rFonts w:cs="Calibri"/>
              </w:rPr>
            </w:pPr>
            <w:r>
              <w:rPr>
                <w:rFonts w:cs="Calibri"/>
              </w:rPr>
              <w:t>If you cannot provide answers to questions 1-7 above by October 4, 2016, we respectfully request that the proposal due date be extended by 5 business days.</w:t>
            </w:r>
          </w:p>
        </w:tc>
        <w:tc>
          <w:tcPr>
            <w:tcW w:w="1861" w:type="pct"/>
          </w:tcPr>
          <w:p w:rsidR="003A2867" w:rsidRDefault="00314B3B" w:rsidP="003A2867">
            <w:pPr>
              <w:spacing w:before="240" w:line="240" w:lineRule="auto"/>
              <w:rPr>
                <w:rFonts w:cs="Calibri"/>
              </w:rPr>
            </w:pPr>
            <w:r>
              <w:rPr>
                <w:rFonts w:cs="Calibri"/>
              </w:rPr>
              <w:t xml:space="preserve">DTF will extend the proposal due date by five (5) business days.  The updated due date for proposals is </w:t>
            </w:r>
            <w:r w:rsidRPr="003854C5">
              <w:rPr>
                <w:rFonts w:cs="Calibri"/>
              </w:rPr>
              <w:t>October 2</w:t>
            </w:r>
            <w:r w:rsidR="00153FD1">
              <w:rPr>
                <w:rFonts w:cs="Calibri"/>
              </w:rPr>
              <w:t>5</w:t>
            </w:r>
            <w:r w:rsidRPr="003854C5">
              <w:rPr>
                <w:rFonts w:cs="Calibri"/>
              </w:rPr>
              <w:t>, 2016</w:t>
            </w:r>
            <w:r>
              <w:rPr>
                <w:rFonts w:cs="Calibri"/>
              </w:rPr>
              <w:t>.</w:t>
            </w:r>
          </w:p>
          <w:p w:rsidR="00314B3B" w:rsidRDefault="00314B3B" w:rsidP="003A2867">
            <w:pPr>
              <w:spacing w:before="240" w:line="240" w:lineRule="auto"/>
              <w:rPr>
                <w:rFonts w:cs="Calibri"/>
              </w:rPr>
            </w:pPr>
            <w:r>
              <w:rPr>
                <w:rFonts w:cs="Calibri"/>
              </w:rPr>
              <w:t xml:space="preserve"> (See Amendment #1)</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t>9</w:t>
            </w:r>
          </w:p>
        </w:tc>
        <w:tc>
          <w:tcPr>
            <w:tcW w:w="1005" w:type="pct"/>
          </w:tcPr>
          <w:p w:rsidR="00314B3B" w:rsidRDefault="00314B3B" w:rsidP="00314B3B">
            <w:pPr>
              <w:spacing w:before="240" w:line="240" w:lineRule="auto"/>
              <w:rPr>
                <w:rFonts w:cs="Calibri"/>
              </w:rPr>
            </w:pPr>
            <w:r>
              <w:rPr>
                <w:rFonts w:cs="Calibri"/>
              </w:rPr>
              <w:t>IV.A.5</w:t>
            </w:r>
          </w:p>
          <w:p w:rsidR="00314B3B" w:rsidRDefault="00314B3B" w:rsidP="00314B3B">
            <w:pPr>
              <w:spacing w:before="240" w:line="240" w:lineRule="auto"/>
              <w:rPr>
                <w:rFonts w:cs="Calibri"/>
              </w:rPr>
            </w:pPr>
            <w:r>
              <w:rPr>
                <w:rFonts w:cs="Calibri"/>
              </w:rPr>
              <w:t>Administrative Requirements, Administrative Proposal Conditions, Proposal Security</w:t>
            </w:r>
          </w:p>
        </w:tc>
        <w:tc>
          <w:tcPr>
            <w:tcW w:w="424" w:type="pct"/>
          </w:tcPr>
          <w:p w:rsidR="00314B3B" w:rsidRDefault="00314B3B" w:rsidP="00314B3B">
            <w:pPr>
              <w:spacing w:before="240" w:line="240" w:lineRule="auto"/>
              <w:rPr>
                <w:rFonts w:cs="Calibri"/>
              </w:rPr>
            </w:pPr>
            <w:r>
              <w:rPr>
                <w:rFonts w:cs="Calibri"/>
              </w:rPr>
              <w:t>19</w:t>
            </w:r>
          </w:p>
        </w:tc>
        <w:tc>
          <w:tcPr>
            <w:tcW w:w="1383" w:type="pct"/>
          </w:tcPr>
          <w:p w:rsidR="00314B3B" w:rsidRDefault="00314B3B" w:rsidP="003A2867">
            <w:pPr>
              <w:spacing w:before="240" w:line="240" w:lineRule="auto"/>
              <w:rPr>
                <w:rFonts w:cs="Calibri"/>
              </w:rPr>
            </w:pPr>
            <w:r>
              <w:rPr>
                <w:rFonts w:cs="Calibri"/>
              </w:rPr>
              <w:t>IFB says all responses are subject to public inspection pursuant to Freedom of Information requests, but we can still mark portions as confidential or proprietary.  So, we need to understand if such marked portions are also subject to public inspection.</w:t>
            </w:r>
          </w:p>
        </w:tc>
        <w:tc>
          <w:tcPr>
            <w:tcW w:w="1861" w:type="pct"/>
          </w:tcPr>
          <w:p w:rsidR="00314B3B" w:rsidRPr="005C5370" w:rsidRDefault="00314B3B" w:rsidP="003A2867">
            <w:pPr>
              <w:rPr>
                <w:rFonts w:cs="Calibri"/>
              </w:rPr>
            </w:pPr>
            <w:r>
              <w:t xml:space="preserve">All agency records (including bid submissions) are subject to public inspection upon agency receipt of a request made pursuant to the NYS Freedom of Information Law (Public Officers Law Article 6, §§84-90) </w:t>
            </w:r>
            <w:r w:rsidRPr="003230BE">
              <w:rPr>
                <w:i/>
              </w:rPr>
              <w:t>unless</w:t>
            </w:r>
            <w:r>
              <w:t xml:space="preserve"> the requested records fall within an exception to FOIL, as set forth at POL  §87(2). For example, POL §87(2)(d) allows a NYS agency to deny access to those portions of a bid that fall within the “trade secret  exception,” i.e., records  exempt from disclosure because they contain trade secrets the disclosure  of which would cause substantial injury to the competitive position of a bidder. Bidders should designate in their bid submission the portion(s) of their bids they believe to be exempt from public disclosure based on the FOIL exceptions and comply with applicable bid submission requirements. (See</w:t>
            </w:r>
            <w:r w:rsidRPr="005C5370">
              <w:t xml:space="preserve"> IFB </w:t>
            </w:r>
            <w:r>
              <w:t xml:space="preserve">at </w:t>
            </w:r>
            <w:r w:rsidRPr="005C5370">
              <w:t>Section V.B</w:t>
            </w:r>
            <w:r>
              <w:t xml:space="preserve">—Submission of Proposals) In the event of a request for disclosure, DTF will withhold any portions so designated if the records come within a FOIL exemption. If DTF receives a FOIL request for a bid, DTF will notify the Bidder </w:t>
            </w:r>
            <w:r>
              <w:lastRenderedPageBreak/>
              <w:t xml:space="preserve">and, if need be, provide the Bidder with an opportunity to defend its assertion of exemption.  DTF cannot, however, guarantee, that the mere designation of portion(s) of the bid as “trade secret,” “confidential” or “proprietary” will prevent their disclosure in a case where withholding the materials is not warranted under the FOIL statute. See also </w:t>
            </w:r>
            <w:r w:rsidRPr="005C5370">
              <w:rPr>
                <w:rFonts w:cs="Calibri"/>
              </w:rPr>
              <w:t>IFB at Article IV. Administrative Requirements, B. Adm</w:t>
            </w:r>
            <w:r>
              <w:rPr>
                <w:rFonts w:cs="Calibri"/>
              </w:rPr>
              <w:t>inistrative Contract Conditions (discussing FOIL trade secrets exemption from disclosure and legal standard and advising Bidders to consult with legal counsel).</w:t>
            </w:r>
          </w:p>
          <w:p w:rsidR="00314B3B" w:rsidRDefault="00314B3B" w:rsidP="003A2867"/>
          <w:p w:rsidR="00314B3B" w:rsidRDefault="00314B3B" w:rsidP="003A2867">
            <w:pPr>
              <w:spacing w:before="240" w:line="240" w:lineRule="auto"/>
              <w:rPr>
                <w:rFonts w:cs="Calibri"/>
              </w:rPr>
            </w:pP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lastRenderedPageBreak/>
              <w:t>10</w:t>
            </w:r>
          </w:p>
        </w:tc>
        <w:tc>
          <w:tcPr>
            <w:tcW w:w="1005" w:type="pct"/>
          </w:tcPr>
          <w:p w:rsidR="00314B3B" w:rsidRDefault="00314B3B" w:rsidP="00314B3B">
            <w:pPr>
              <w:spacing w:before="240" w:line="240" w:lineRule="auto"/>
              <w:rPr>
                <w:rFonts w:cs="Calibri"/>
              </w:rPr>
            </w:pPr>
            <w:r>
              <w:rPr>
                <w:rFonts w:cs="Calibri"/>
              </w:rPr>
              <w:t>IV.B.5 – IV.B.8</w:t>
            </w:r>
          </w:p>
          <w:p w:rsidR="00314B3B" w:rsidRDefault="00314B3B" w:rsidP="00314B3B">
            <w:pPr>
              <w:spacing w:before="240" w:line="240" w:lineRule="auto"/>
              <w:rPr>
                <w:rFonts w:cs="Calibri"/>
              </w:rPr>
            </w:pPr>
            <w:r>
              <w:rPr>
                <w:rFonts w:cs="Calibri"/>
              </w:rPr>
              <w:t>Administrative Requirements, Administrative Contract Conditions, 5-8</w:t>
            </w:r>
          </w:p>
          <w:p w:rsidR="00314B3B" w:rsidRDefault="00314B3B" w:rsidP="00314B3B">
            <w:pPr>
              <w:spacing w:before="240" w:line="240" w:lineRule="auto"/>
              <w:rPr>
                <w:rFonts w:cs="Calibri"/>
              </w:rPr>
            </w:pPr>
          </w:p>
          <w:p w:rsidR="00314B3B" w:rsidRDefault="00314B3B" w:rsidP="00314B3B">
            <w:pPr>
              <w:spacing w:before="240" w:line="240" w:lineRule="auto"/>
              <w:rPr>
                <w:rFonts w:cs="Calibri"/>
              </w:rPr>
            </w:pPr>
            <w:r>
              <w:rPr>
                <w:rFonts w:cs="Calibri"/>
              </w:rPr>
              <w:t>IV.B.22</w:t>
            </w:r>
          </w:p>
          <w:p w:rsidR="00314B3B" w:rsidRDefault="00314B3B" w:rsidP="00314B3B">
            <w:pPr>
              <w:spacing w:before="240" w:line="240" w:lineRule="auto"/>
              <w:rPr>
                <w:rFonts w:cs="Calibri"/>
              </w:rPr>
            </w:pPr>
            <w:r>
              <w:rPr>
                <w:rFonts w:cs="Calibri"/>
              </w:rPr>
              <w:t xml:space="preserve">Administrative Requirements, </w:t>
            </w:r>
            <w:r>
              <w:rPr>
                <w:rFonts w:cs="Calibri"/>
              </w:rPr>
              <w:lastRenderedPageBreak/>
              <w:t>Administrative Contract Conditions, Encouraging Use of NYS Businesses in Contract Performance</w:t>
            </w:r>
          </w:p>
        </w:tc>
        <w:tc>
          <w:tcPr>
            <w:tcW w:w="424" w:type="pct"/>
          </w:tcPr>
          <w:p w:rsidR="00314B3B" w:rsidRDefault="00314B3B" w:rsidP="00314B3B">
            <w:pPr>
              <w:spacing w:before="240" w:line="240" w:lineRule="auto"/>
              <w:rPr>
                <w:rFonts w:cs="Calibri"/>
              </w:rPr>
            </w:pPr>
            <w:r>
              <w:rPr>
                <w:rFonts w:cs="Calibri"/>
              </w:rPr>
              <w:lastRenderedPageBreak/>
              <w:t>24-28</w:t>
            </w:r>
          </w:p>
          <w:p w:rsidR="00314B3B" w:rsidRDefault="00314B3B" w:rsidP="00314B3B">
            <w:pPr>
              <w:spacing w:before="240" w:line="240" w:lineRule="auto"/>
              <w:rPr>
                <w:rFonts w:cs="Calibri"/>
              </w:rPr>
            </w:pPr>
          </w:p>
          <w:p w:rsidR="00314B3B" w:rsidRDefault="00314B3B" w:rsidP="00314B3B">
            <w:pPr>
              <w:spacing w:before="240" w:line="240" w:lineRule="auto"/>
              <w:rPr>
                <w:rFonts w:cs="Calibri"/>
              </w:rPr>
            </w:pPr>
          </w:p>
          <w:p w:rsidR="00314B3B" w:rsidRDefault="00314B3B" w:rsidP="00314B3B">
            <w:pPr>
              <w:spacing w:before="240" w:line="240" w:lineRule="auto"/>
              <w:rPr>
                <w:rFonts w:cs="Calibri"/>
              </w:rPr>
            </w:pPr>
          </w:p>
          <w:p w:rsidR="00314B3B" w:rsidRDefault="00314B3B" w:rsidP="00314B3B">
            <w:pPr>
              <w:spacing w:before="240" w:line="240" w:lineRule="auto"/>
              <w:rPr>
                <w:rFonts w:cs="Calibri"/>
              </w:rPr>
            </w:pPr>
          </w:p>
          <w:p w:rsidR="00314B3B" w:rsidRDefault="00314B3B" w:rsidP="00314B3B">
            <w:pPr>
              <w:spacing w:before="240" w:line="240" w:lineRule="auto"/>
              <w:rPr>
                <w:rFonts w:cs="Calibri"/>
              </w:rPr>
            </w:pPr>
            <w:r>
              <w:rPr>
                <w:rFonts w:cs="Calibri"/>
              </w:rPr>
              <w:t>37</w:t>
            </w:r>
          </w:p>
        </w:tc>
        <w:tc>
          <w:tcPr>
            <w:tcW w:w="1383" w:type="pct"/>
          </w:tcPr>
          <w:p w:rsidR="00314B3B" w:rsidRPr="001E3D21" w:rsidRDefault="00314B3B" w:rsidP="003A2867">
            <w:r w:rsidRPr="001E3D21">
              <w:t xml:space="preserve">There are numerous provisions/commitments in the IFB and Preliminary Contract about MWBE (Minority and Women Owned Business Enterprises) participation goals and initiatives – including providing periodic reports and plans on our efforts in this regard.  There are also similar provisions regarding use of Service-Disabled Veteran Owned businesses as well as New York State </w:t>
            </w:r>
            <w:r w:rsidRPr="001E3D21">
              <w:lastRenderedPageBreak/>
              <w:t>businesses.  Given that we are not engaging any subcontractors specifically for this contract, we need confirmation that none</w:t>
            </w:r>
            <w:r w:rsidR="008B5F3F">
              <w:t xml:space="preserve"> </w:t>
            </w:r>
            <w:r w:rsidRPr="001E3D21">
              <w:t xml:space="preserve">of these would apply in this case. </w:t>
            </w:r>
          </w:p>
          <w:p w:rsidR="00314B3B" w:rsidRDefault="00314B3B" w:rsidP="003A2867">
            <w:pPr>
              <w:spacing w:before="240" w:line="240" w:lineRule="auto"/>
              <w:rPr>
                <w:rFonts w:cs="Calibri"/>
              </w:rPr>
            </w:pPr>
          </w:p>
        </w:tc>
        <w:tc>
          <w:tcPr>
            <w:tcW w:w="1861" w:type="pct"/>
          </w:tcPr>
          <w:p w:rsidR="00EF42D9" w:rsidRDefault="00EF42D9" w:rsidP="003A286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The Department is not prohibiting the subcontracting of services for Lot 1, Tax Law Handbooks. As such, the winning </w:t>
            </w:r>
            <w:r w:rsidR="00131175">
              <w:t>B</w:t>
            </w:r>
            <w:r>
              <w:t>idder for Lot 1 is expected to comply with the stated MWBE goals</w:t>
            </w:r>
            <w:r w:rsidR="00131175">
              <w:t>,</w:t>
            </w:r>
            <w:r>
              <w:t xml:space="preserve"> as well as encouraged to strongly consider SDVOB</w:t>
            </w:r>
            <w:r w:rsidR="00131175">
              <w:t>s,</w:t>
            </w:r>
            <w:r>
              <w:t xml:space="preserve"> in the fulfillment of the requirements of the contract.</w:t>
            </w:r>
          </w:p>
          <w:p w:rsidR="00057E70" w:rsidRDefault="00EF42D9" w:rsidP="003A2867">
            <w:pPr>
              <w:rPr>
                <w:rFonts w:cs="Calibri"/>
                <w:color w:val="000000"/>
              </w:rPr>
            </w:pPr>
            <w:r>
              <w:rPr>
                <w:rFonts w:cs="Calibri"/>
                <w:color w:val="000000"/>
              </w:rPr>
              <w:t>The Department established its MWBE goals for this contract based on a level of commitment that we believe is attainable in the industry</w:t>
            </w:r>
            <w:r w:rsidR="00131175">
              <w:rPr>
                <w:rFonts w:cs="Calibri"/>
                <w:color w:val="000000"/>
              </w:rPr>
              <w:t>,</w:t>
            </w:r>
            <w:r>
              <w:rPr>
                <w:rFonts w:cs="Calibri"/>
                <w:color w:val="000000"/>
              </w:rPr>
              <w:t xml:space="preserve"> and is in line with the State's priority to advance use of </w:t>
            </w:r>
            <w:r>
              <w:rPr>
                <w:rFonts w:cs="Calibri"/>
                <w:color w:val="000000"/>
              </w:rPr>
              <w:lastRenderedPageBreak/>
              <w:t xml:space="preserve">MWBE firms. </w:t>
            </w:r>
            <w:r w:rsidR="00131175">
              <w:rPr>
                <w:rFonts w:cs="Calibri"/>
                <w:color w:val="000000"/>
              </w:rPr>
              <w:t>A Bidder</w:t>
            </w:r>
            <w:r>
              <w:rPr>
                <w:rFonts w:cs="Calibri"/>
                <w:color w:val="000000"/>
              </w:rPr>
              <w:t xml:space="preserve"> </w:t>
            </w:r>
            <w:r w:rsidR="00131175">
              <w:rPr>
                <w:rFonts w:cs="Calibri"/>
                <w:color w:val="000000"/>
              </w:rPr>
              <w:t>f</w:t>
            </w:r>
            <w:r w:rsidR="00057E70">
              <w:rPr>
                <w:rFonts w:cs="Calibri"/>
                <w:color w:val="000000"/>
              </w:rPr>
              <w:t>ailing to meet the stated MWBE goals</w:t>
            </w:r>
            <w:r w:rsidR="00131175">
              <w:rPr>
                <w:rFonts w:cs="Calibri"/>
                <w:color w:val="000000"/>
              </w:rPr>
              <w:t xml:space="preserve"> </w:t>
            </w:r>
            <w:r w:rsidR="00057E70">
              <w:rPr>
                <w:rFonts w:cs="Calibri"/>
                <w:color w:val="000000"/>
              </w:rPr>
              <w:t>must, at a minimum, document its good faith effort</w:t>
            </w:r>
            <w:r w:rsidR="00216629">
              <w:rPr>
                <w:rFonts w:cs="Calibri"/>
                <w:color w:val="000000"/>
              </w:rPr>
              <w:t>s</w:t>
            </w:r>
            <w:r w:rsidR="00057E70">
              <w:rPr>
                <w:rFonts w:cs="Calibri"/>
                <w:color w:val="000000"/>
              </w:rPr>
              <w:t xml:space="preserve"> to engage a certified MWBE in the performance of this contract</w:t>
            </w:r>
            <w:r w:rsidR="00131175">
              <w:rPr>
                <w:rFonts w:cs="Calibri"/>
                <w:color w:val="000000"/>
              </w:rPr>
              <w:t>;</w:t>
            </w:r>
            <w:r w:rsidR="00057E70">
              <w:rPr>
                <w:rFonts w:cs="Calibri"/>
                <w:color w:val="000000"/>
              </w:rPr>
              <w:t xml:space="preserve"> </w:t>
            </w:r>
            <w:r w:rsidR="00131175">
              <w:rPr>
                <w:rFonts w:cs="Calibri"/>
                <w:color w:val="000000"/>
              </w:rPr>
              <w:t>o</w:t>
            </w:r>
            <w:r w:rsidR="00216629">
              <w:rPr>
                <w:rFonts w:cs="Calibri"/>
                <w:color w:val="000000"/>
              </w:rPr>
              <w:t>therwise</w:t>
            </w:r>
            <w:r w:rsidR="00057E70">
              <w:rPr>
                <w:rFonts w:cs="Calibri"/>
                <w:color w:val="000000"/>
              </w:rPr>
              <w:t xml:space="preserve">, the bid may be deemed non-responsive and disqualified </w:t>
            </w:r>
            <w:r w:rsidR="004F0CB8">
              <w:rPr>
                <w:rFonts w:cs="Calibri"/>
                <w:color w:val="000000"/>
              </w:rPr>
              <w:t>from</w:t>
            </w:r>
            <w:r w:rsidR="00057E70">
              <w:rPr>
                <w:rFonts w:cs="Calibri"/>
                <w:color w:val="000000"/>
              </w:rPr>
              <w:t xml:space="preserve"> contract award.</w:t>
            </w:r>
          </w:p>
          <w:p w:rsidR="00EF42D9" w:rsidRDefault="00057E70" w:rsidP="003A2867">
            <w:pPr>
              <w:rPr>
                <w:rFonts w:cs="Calibri"/>
                <w:color w:val="000000"/>
              </w:rPr>
            </w:pPr>
            <w:r>
              <w:rPr>
                <w:rFonts w:cs="Calibri"/>
                <w:color w:val="000000"/>
              </w:rPr>
              <w:t>I</w:t>
            </w:r>
            <w:r w:rsidR="00EF42D9">
              <w:rPr>
                <w:rFonts w:cs="Calibri"/>
                <w:color w:val="000000"/>
              </w:rPr>
              <w:t>f your firm is not able to attain</w:t>
            </w:r>
            <w:r w:rsidR="004F0CB8">
              <w:rPr>
                <w:rFonts w:cs="Calibri"/>
                <w:color w:val="000000"/>
              </w:rPr>
              <w:t xml:space="preserve"> the</w:t>
            </w:r>
            <w:r w:rsidR="00EF42D9">
              <w:rPr>
                <w:rFonts w:cs="Calibri"/>
                <w:color w:val="000000"/>
              </w:rPr>
              <w:t xml:space="preserve"> stated goals, a request for a waiver is possible.  </w:t>
            </w:r>
          </w:p>
          <w:p w:rsidR="00314B3B" w:rsidRPr="008F3C5B" w:rsidRDefault="00314B3B" w:rsidP="003A2867">
            <w:pPr>
              <w:spacing w:before="240" w:line="240" w:lineRule="auto"/>
              <w:rPr>
                <w:rFonts w:cs="Calibri"/>
                <w:highlight w:val="yellow"/>
              </w:rPr>
            </w:pPr>
          </w:p>
        </w:tc>
      </w:tr>
      <w:tr w:rsidR="00314B3B" w:rsidRPr="000B1A5A" w:rsidTr="00B04F86">
        <w:tc>
          <w:tcPr>
            <w:tcW w:w="327" w:type="pct"/>
          </w:tcPr>
          <w:p w:rsidR="00314B3B" w:rsidRPr="001E3D21" w:rsidRDefault="00314B3B" w:rsidP="00314B3B">
            <w:pPr>
              <w:spacing w:before="240" w:line="240" w:lineRule="auto"/>
              <w:jc w:val="center"/>
              <w:rPr>
                <w:rFonts w:cs="Calibri"/>
              </w:rPr>
            </w:pPr>
            <w:r w:rsidRPr="001E3D21">
              <w:rPr>
                <w:rFonts w:cs="Calibri"/>
              </w:rPr>
              <w:lastRenderedPageBreak/>
              <w:t>11</w:t>
            </w:r>
          </w:p>
        </w:tc>
        <w:tc>
          <w:tcPr>
            <w:tcW w:w="1005" w:type="pct"/>
          </w:tcPr>
          <w:p w:rsidR="00314B3B" w:rsidRDefault="00314B3B" w:rsidP="00314B3B">
            <w:pPr>
              <w:spacing w:before="240" w:line="240" w:lineRule="auto"/>
              <w:rPr>
                <w:rFonts w:cs="Calibri"/>
              </w:rPr>
            </w:pPr>
            <w:r w:rsidRPr="001E3D21">
              <w:rPr>
                <w:rFonts w:cs="Calibri"/>
              </w:rPr>
              <w:t>V</w:t>
            </w:r>
          </w:p>
          <w:p w:rsidR="00314B3B" w:rsidRPr="001E3D21" w:rsidRDefault="00314B3B" w:rsidP="00314B3B">
            <w:pPr>
              <w:spacing w:before="240" w:line="240" w:lineRule="auto"/>
              <w:rPr>
                <w:rFonts w:cs="Calibri"/>
              </w:rPr>
            </w:pPr>
            <w:r>
              <w:rPr>
                <w:rFonts w:cs="Calibri"/>
              </w:rPr>
              <w:t>Proposal Submission</w:t>
            </w:r>
          </w:p>
        </w:tc>
        <w:tc>
          <w:tcPr>
            <w:tcW w:w="424" w:type="pct"/>
          </w:tcPr>
          <w:p w:rsidR="00314B3B" w:rsidRPr="001E3D21" w:rsidRDefault="00314B3B" w:rsidP="00314B3B">
            <w:pPr>
              <w:spacing w:before="240" w:line="240" w:lineRule="auto"/>
              <w:rPr>
                <w:rFonts w:cs="Calibri"/>
              </w:rPr>
            </w:pPr>
            <w:r w:rsidRPr="001E3D21">
              <w:rPr>
                <w:rFonts w:cs="Calibri"/>
              </w:rPr>
              <w:t>39</w:t>
            </w:r>
          </w:p>
        </w:tc>
        <w:tc>
          <w:tcPr>
            <w:tcW w:w="1383" w:type="pct"/>
          </w:tcPr>
          <w:p w:rsidR="00314B3B" w:rsidRPr="00777CA0" w:rsidRDefault="00314B3B" w:rsidP="003A2867">
            <w:r w:rsidRPr="00777CA0">
              <w:t>If we are bidding on Lot 1 as well as Lot 2, the RFB</w:t>
            </w:r>
            <w:r w:rsidR="003A2867">
              <w:t xml:space="preserve"> (sic)</w:t>
            </w:r>
            <w:r w:rsidRPr="00777CA0">
              <w:t xml:space="preserve"> states to submit in one submission.  How will you award, will you award digital and books together or are you looking at different partners for each price?  </w:t>
            </w:r>
          </w:p>
          <w:p w:rsidR="00314B3B" w:rsidRPr="00777CA0" w:rsidRDefault="00314B3B" w:rsidP="003A2867"/>
        </w:tc>
        <w:tc>
          <w:tcPr>
            <w:tcW w:w="1861" w:type="pct"/>
          </w:tcPr>
          <w:p w:rsidR="00EF42D9" w:rsidRDefault="008B5F3F" w:rsidP="003A2867">
            <w:pPr>
              <w:spacing w:before="240" w:line="240" w:lineRule="auto"/>
              <w:rPr>
                <w:rFonts w:cs="Calibri"/>
              </w:rPr>
            </w:pPr>
            <w:r w:rsidRPr="00EF42D9">
              <w:rPr>
                <w:rFonts w:cs="Calibri"/>
              </w:rPr>
              <w:t xml:space="preserve">The Department will award two (2) contracts; </w:t>
            </w:r>
            <w:r w:rsidR="00EF42D9">
              <w:rPr>
                <w:rFonts w:cs="Calibri"/>
              </w:rPr>
              <w:t>one contract for Lot 1 – Tax Law Handbooks and one contract for Lot 2 – Electronic Online Tax and Accounting Research Database Service</w:t>
            </w:r>
            <w:r w:rsidRPr="00EF42D9">
              <w:rPr>
                <w:rFonts w:cs="Calibri"/>
              </w:rPr>
              <w:t>.</w:t>
            </w:r>
            <w:r w:rsidR="00684037" w:rsidRPr="00EF42D9">
              <w:rPr>
                <w:rFonts w:cs="Calibri"/>
              </w:rPr>
              <w:t xml:space="preserve"> </w:t>
            </w:r>
          </w:p>
          <w:p w:rsidR="008B5F3F" w:rsidRDefault="00EF42D9" w:rsidP="003A2867">
            <w:pPr>
              <w:spacing w:before="240" w:line="240" w:lineRule="auto"/>
              <w:rPr>
                <w:rFonts w:cs="Calibri"/>
              </w:rPr>
            </w:pPr>
            <w:r>
              <w:rPr>
                <w:rFonts w:cs="Calibri"/>
              </w:rPr>
              <w:t>While it</w:t>
            </w:r>
            <w:r w:rsidR="00C56638">
              <w:rPr>
                <w:rFonts w:cs="Calibri"/>
              </w:rPr>
              <w:t xml:space="preserve"> is</w:t>
            </w:r>
            <w:r>
              <w:rPr>
                <w:rFonts w:cs="Calibri"/>
              </w:rPr>
              <w:t xml:space="preserve"> possible that the same Bidder can win both Lots, the Lots will be awarded separately.</w:t>
            </w:r>
          </w:p>
        </w:tc>
      </w:tr>
      <w:tr w:rsidR="00314B3B" w:rsidRPr="000B1A5A" w:rsidTr="00B04F86">
        <w:tc>
          <w:tcPr>
            <w:tcW w:w="327" w:type="pct"/>
          </w:tcPr>
          <w:p w:rsidR="00314B3B" w:rsidRPr="001E3D21" w:rsidRDefault="00314B3B" w:rsidP="00314B3B">
            <w:pPr>
              <w:spacing w:before="240" w:line="240" w:lineRule="auto"/>
              <w:jc w:val="center"/>
              <w:rPr>
                <w:rFonts w:cs="Calibri"/>
              </w:rPr>
            </w:pPr>
            <w:r w:rsidRPr="001E3D21">
              <w:rPr>
                <w:rFonts w:cs="Calibri"/>
              </w:rPr>
              <w:t>12</w:t>
            </w:r>
          </w:p>
        </w:tc>
        <w:tc>
          <w:tcPr>
            <w:tcW w:w="1005" w:type="pct"/>
          </w:tcPr>
          <w:p w:rsidR="00314B3B" w:rsidRDefault="00314B3B" w:rsidP="00314B3B">
            <w:pPr>
              <w:spacing w:before="240" w:line="240" w:lineRule="auto"/>
              <w:rPr>
                <w:rFonts w:cs="Calibri"/>
              </w:rPr>
            </w:pPr>
            <w:r w:rsidRPr="001E3D21">
              <w:rPr>
                <w:rFonts w:cs="Calibri"/>
              </w:rPr>
              <w:t>IA – Lot 2</w:t>
            </w:r>
          </w:p>
          <w:p w:rsidR="00314B3B" w:rsidRPr="001E3D21" w:rsidRDefault="00314B3B" w:rsidP="00314B3B">
            <w:pPr>
              <w:spacing w:before="240" w:line="240" w:lineRule="auto"/>
              <w:rPr>
                <w:rFonts w:cs="Calibri"/>
              </w:rPr>
            </w:pPr>
            <w:r>
              <w:rPr>
                <w:rFonts w:cs="Calibri"/>
              </w:rPr>
              <w:t>Introduction</w:t>
            </w:r>
          </w:p>
        </w:tc>
        <w:tc>
          <w:tcPr>
            <w:tcW w:w="424" w:type="pct"/>
          </w:tcPr>
          <w:p w:rsidR="00314B3B" w:rsidRPr="001E3D21" w:rsidRDefault="00314B3B" w:rsidP="00314B3B">
            <w:pPr>
              <w:spacing w:before="240" w:line="240" w:lineRule="auto"/>
              <w:rPr>
                <w:rFonts w:cs="Calibri"/>
              </w:rPr>
            </w:pPr>
            <w:r w:rsidRPr="001E3D21">
              <w:rPr>
                <w:rFonts w:cs="Calibri"/>
              </w:rPr>
              <w:t>11</w:t>
            </w:r>
            <w:r>
              <w:rPr>
                <w:rFonts w:cs="Calibri"/>
              </w:rPr>
              <w:t xml:space="preserve"> </w:t>
            </w:r>
            <w:r w:rsidRPr="001E3D21">
              <w:rPr>
                <w:rFonts w:cs="Calibri"/>
              </w:rPr>
              <w:t>-12</w:t>
            </w:r>
          </w:p>
        </w:tc>
        <w:tc>
          <w:tcPr>
            <w:tcW w:w="1383" w:type="pct"/>
          </w:tcPr>
          <w:p w:rsidR="00314B3B" w:rsidRPr="00777CA0" w:rsidRDefault="00314B3B" w:rsidP="003A2867">
            <w:r w:rsidRPr="00777CA0">
              <w:t xml:space="preserve">Would you please explain the typical research process used when looking for answers? </w:t>
            </w:r>
          </w:p>
          <w:p w:rsidR="00314B3B" w:rsidRPr="00777CA0" w:rsidRDefault="00314B3B" w:rsidP="003A2867">
            <w:r w:rsidRPr="00777CA0">
              <w:t>How do you use browser searches?</w:t>
            </w:r>
          </w:p>
          <w:p w:rsidR="00314B3B" w:rsidRPr="00777CA0" w:rsidRDefault="00314B3B" w:rsidP="003A2867">
            <w:r w:rsidRPr="00777CA0">
              <w:t>Please prioritize the content you search most listing a Top 5</w:t>
            </w:r>
            <w:r w:rsidR="00153FD1">
              <w:t>.</w:t>
            </w:r>
          </w:p>
          <w:p w:rsidR="00314B3B" w:rsidRPr="00777CA0" w:rsidRDefault="00314B3B" w:rsidP="003A2867"/>
        </w:tc>
        <w:tc>
          <w:tcPr>
            <w:tcW w:w="1861" w:type="pct"/>
          </w:tcPr>
          <w:p w:rsidR="00314B3B" w:rsidRDefault="00314B3B" w:rsidP="003A2867">
            <w:r>
              <w:lastRenderedPageBreak/>
              <w:t xml:space="preserve">DTF has myriad electronic database users and there is no “typical research process” used by all.  DTF employees have various approaches to research depending on the researcher, the researcher’s skills, and the information sought.  Some research begins with a known law or regulation in order to see other citing references.  Other research begins with Boolean or natural </w:t>
            </w:r>
            <w:r>
              <w:lastRenderedPageBreak/>
              <w:t>language searches for open-ended questions, such as seeking a legal opinion on an issue in a relevant jurisdiction.  Other users simply need to confirm currency of decisions, statutes, agency publications etc.  DTF does not have reliable metrics allowing us to “prioritize top 5” content with any degree of certainty.  Our best anecdotal information would be as follows:</w:t>
            </w:r>
          </w:p>
          <w:p w:rsidR="00314B3B" w:rsidRDefault="00314B3B" w:rsidP="003A2867">
            <w:r>
              <w:t>1 – Primary sources: NY statutes, court decisions from all levels, ALJ through appellate, regulations;</w:t>
            </w:r>
          </w:p>
          <w:p w:rsidR="00314B3B" w:rsidRDefault="00314B3B" w:rsidP="003A2867">
            <w:r>
              <w:t xml:space="preserve">2 – Primary sources: NY agency opinions, agency publications; </w:t>
            </w:r>
          </w:p>
          <w:p w:rsidR="00314B3B" w:rsidRDefault="00314B3B" w:rsidP="003A2867">
            <w:r>
              <w:t>3 – Primary sources: Federal statutes and regulations;</w:t>
            </w:r>
          </w:p>
          <w:p w:rsidR="00314B3B" w:rsidRDefault="00314B3B" w:rsidP="003A2867">
            <w:r>
              <w:t>4 – Secondary sources: editorial analysis of law;</w:t>
            </w:r>
          </w:p>
          <w:p w:rsidR="00314B3B" w:rsidRDefault="00314B3B" w:rsidP="003A2867">
            <w:pPr>
              <w:spacing w:before="240" w:line="240" w:lineRule="auto"/>
              <w:rPr>
                <w:rFonts w:cs="Calibri"/>
              </w:rPr>
            </w:pPr>
            <w:r>
              <w:t>5 – Primary sources: other jurisdictions’ statutes, legal decisions.</w:t>
            </w:r>
          </w:p>
        </w:tc>
      </w:tr>
      <w:tr w:rsidR="00314B3B" w:rsidRPr="000B1A5A" w:rsidTr="00B04F86">
        <w:tc>
          <w:tcPr>
            <w:tcW w:w="327" w:type="pct"/>
          </w:tcPr>
          <w:p w:rsidR="00314B3B" w:rsidRPr="001E3D21" w:rsidRDefault="00314B3B" w:rsidP="00314B3B">
            <w:pPr>
              <w:spacing w:before="240" w:line="240" w:lineRule="auto"/>
              <w:jc w:val="center"/>
              <w:rPr>
                <w:rFonts w:cs="Calibri"/>
              </w:rPr>
            </w:pPr>
            <w:r>
              <w:rPr>
                <w:rFonts w:cs="Calibri"/>
              </w:rPr>
              <w:lastRenderedPageBreak/>
              <w:t>13</w:t>
            </w:r>
          </w:p>
        </w:tc>
        <w:tc>
          <w:tcPr>
            <w:tcW w:w="1005" w:type="pct"/>
          </w:tcPr>
          <w:p w:rsidR="00314B3B" w:rsidRDefault="00314B3B" w:rsidP="00314B3B">
            <w:pPr>
              <w:spacing w:before="240" w:line="240" w:lineRule="auto"/>
              <w:rPr>
                <w:rFonts w:cs="Calibri"/>
              </w:rPr>
            </w:pPr>
            <w:r>
              <w:rPr>
                <w:rFonts w:cs="Calibri"/>
              </w:rPr>
              <w:t>III</w:t>
            </w:r>
          </w:p>
          <w:p w:rsidR="00314B3B" w:rsidRPr="001E3D21" w:rsidRDefault="00314B3B" w:rsidP="00314B3B">
            <w:pPr>
              <w:spacing w:before="240" w:line="240" w:lineRule="auto"/>
              <w:rPr>
                <w:rFonts w:cs="Calibri"/>
              </w:rPr>
            </w:pPr>
            <w:r>
              <w:rPr>
                <w:rFonts w:cs="Calibri"/>
              </w:rPr>
              <w:t>Financial Requirements</w:t>
            </w:r>
          </w:p>
        </w:tc>
        <w:tc>
          <w:tcPr>
            <w:tcW w:w="424" w:type="pct"/>
          </w:tcPr>
          <w:p w:rsidR="00314B3B" w:rsidRPr="001E3D21" w:rsidRDefault="00314B3B" w:rsidP="00314B3B">
            <w:pPr>
              <w:spacing w:before="240" w:line="240" w:lineRule="auto"/>
              <w:rPr>
                <w:rFonts w:cs="Calibri"/>
              </w:rPr>
            </w:pPr>
            <w:r>
              <w:rPr>
                <w:rFonts w:cs="Calibri"/>
              </w:rPr>
              <w:t>18</w:t>
            </w:r>
          </w:p>
        </w:tc>
        <w:tc>
          <w:tcPr>
            <w:tcW w:w="1383" w:type="pct"/>
          </w:tcPr>
          <w:p w:rsidR="00314B3B" w:rsidRDefault="00314B3B" w:rsidP="003A2867">
            <w:r>
              <w:t>Can bidders modify the form for Lot 2 bids by offering two prices:</w:t>
            </w:r>
          </w:p>
          <w:p w:rsidR="00314B3B" w:rsidRDefault="00314B3B" w:rsidP="003A2867">
            <w:pPr>
              <w:pStyle w:val="ListParagraph"/>
              <w:numPr>
                <w:ilvl w:val="0"/>
                <w:numId w:val="12"/>
              </w:numPr>
            </w:pPr>
            <w:r>
              <w:t>Meets bid specs</w:t>
            </w:r>
          </w:p>
          <w:p w:rsidR="00314B3B" w:rsidRPr="00777CA0" w:rsidRDefault="00314B3B" w:rsidP="003A2867">
            <w:pPr>
              <w:pStyle w:val="ListParagraph"/>
              <w:numPr>
                <w:ilvl w:val="0"/>
                <w:numId w:val="12"/>
              </w:numPr>
            </w:pPr>
            <w:r>
              <w:t>Optional services</w:t>
            </w:r>
          </w:p>
        </w:tc>
        <w:tc>
          <w:tcPr>
            <w:tcW w:w="1861" w:type="pct"/>
          </w:tcPr>
          <w:p w:rsidR="00680438" w:rsidRPr="00680438" w:rsidRDefault="00680438" w:rsidP="003A2867">
            <w:pPr>
              <w:spacing w:before="240" w:line="240" w:lineRule="auto"/>
              <w:rPr>
                <w:rFonts w:cs="Calibri"/>
              </w:rPr>
            </w:pPr>
            <w:r w:rsidRPr="00680438">
              <w:rPr>
                <w:rFonts w:cs="Calibri"/>
              </w:rPr>
              <w:t xml:space="preserve">No. </w:t>
            </w:r>
          </w:p>
          <w:p w:rsidR="00322D32" w:rsidRPr="00322D32" w:rsidRDefault="00322D32" w:rsidP="003A2867">
            <w:pPr>
              <w:spacing w:before="240" w:line="240" w:lineRule="auto"/>
              <w:rPr>
                <w:rFonts w:cs="Calibri"/>
              </w:rPr>
            </w:pPr>
            <w:r w:rsidRPr="00680438">
              <w:t xml:space="preserve">The IFB sets forth ALL Lot 2 content that DTF seeks to obtain via this </w:t>
            </w:r>
            <w:r w:rsidR="005D19B7" w:rsidRPr="00680438">
              <w:t>bid</w:t>
            </w:r>
            <w:r w:rsidRPr="00680438">
              <w:t>. That is the information that should be used by Bidd</w:t>
            </w:r>
            <w:r w:rsidR="003362C0" w:rsidRPr="00680438">
              <w:t>ers in preparing their Lot 2 pricing</w:t>
            </w:r>
            <w:r w:rsidRPr="00680438">
              <w:t xml:space="preserve"> submissions.</w:t>
            </w:r>
          </w:p>
        </w:tc>
      </w:tr>
      <w:tr w:rsidR="00314B3B" w:rsidRPr="000B1A5A" w:rsidTr="00B04F86">
        <w:tc>
          <w:tcPr>
            <w:tcW w:w="327" w:type="pct"/>
          </w:tcPr>
          <w:p w:rsidR="00314B3B" w:rsidRPr="001E3D21" w:rsidRDefault="00314B3B" w:rsidP="00314B3B">
            <w:pPr>
              <w:spacing w:before="240" w:line="240" w:lineRule="auto"/>
              <w:jc w:val="center"/>
              <w:rPr>
                <w:rFonts w:cs="Calibri"/>
              </w:rPr>
            </w:pPr>
            <w:r>
              <w:rPr>
                <w:rFonts w:cs="Calibri"/>
              </w:rPr>
              <w:lastRenderedPageBreak/>
              <w:t>14</w:t>
            </w:r>
          </w:p>
        </w:tc>
        <w:tc>
          <w:tcPr>
            <w:tcW w:w="1005" w:type="pct"/>
          </w:tcPr>
          <w:p w:rsidR="00314B3B" w:rsidRDefault="00314B3B" w:rsidP="00314B3B">
            <w:pPr>
              <w:spacing w:before="240" w:line="240" w:lineRule="auto"/>
              <w:rPr>
                <w:rFonts w:cs="Calibri"/>
              </w:rPr>
            </w:pPr>
            <w:r>
              <w:rPr>
                <w:rFonts w:cs="Calibri"/>
              </w:rPr>
              <w:t xml:space="preserve">Exhibit B, </w:t>
            </w:r>
            <w:proofErr w:type="spellStart"/>
            <w:r>
              <w:rPr>
                <w:rFonts w:cs="Calibri"/>
              </w:rPr>
              <w:t>III.f</w:t>
            </w:r>
            <w:proofErr w:type="spellEnd"/>
          </w:p>
          <w:p w:rsidR="00314B3B" w:rsidRPr="001E3D21" w:rsidRDefault="00314B3B" w:rsidP="00314B3B">
            <w:pPr>
              <w:spacing w:before="240" w:line="240" w:lineRule="auto"/>
              <w:rPr>
                <w:rFonts w:cs="Calibri"/>
              </w:rPr>
            </w:pPr>
            <w:r>
              <w:rPr>
                <w:rFonts w:cs="Calibri"/>
              </w:rPr>
              <w:t>Preliminary Contract, Contractor Responsibilities, f</w:t>
            </w:r>
          </w:p>
        </w:tc>
        <w:tc>
          <w:tcPr>
            <w:tcW w:w="424" w:type="pct"/>
          </w:tcPr>
          <w:p w:rsidR="00314B3B" w:rsidRPr="001E3D21" w:rsidRDefault="00314B3B" w:rsidP="00314B3B">
            <w:pPr>
              <w:spacing w:before="240" w:line="240" w:lineRule="auto"/>
              <w:rPr>
                <w:rFonts w:cs="Calibri"/>
              </w:rPr>
            </w:pPr>
            <w:r>
              <w:rPr>
                <w:rFonts w:cs="Calibri"/>
              </w:rPr>
              <w:t>3</w:t>
            </w:r>
          </w:p>
        </w:tc>
        <w:tc>
          <w:tcPr>
            <w:tcW w:w="1383" w:type="pct"/>
          </w:tcPr>
          <w:p w:rsidR="00314B3B" w:rsidRPr="00777CA0" w:rsidRDefault="00314B3B" w:rsidP="003A2867">
            <w:r>
              <w:t xml:space="preserve">If Vendor is not bidding on Lot 1, Vendor can disregard Article VIII.4 in its entirety, correct?  If </w:t>
            </w:r>
            <w:r w:rsidR="003A2867">
              <w:t>the answer is “No, not correct,”</w:t>
            </w:r>
            <w:r>
              <w:t xml:space="preserve"> then please see next question.  </w:t>
            </w:r>
            <w:r w:rsidR="003A2867">
              <w:t>If the answer is “yes, correct,”</w:t>
            </w:r>
            <w:r>
              <w:t xml:space="preserve"> then remaining question is not applicable.</w:t>
            </w:r>
          </w:p>
        </w:tc>
        <w:tc>
          <w:tcPr>
            <w:tcW w:w="1861" w:type="pct"/>
          </w:tcPr>
          <w:p w:rsidR="00A93EC7" w:rsidRDefault="002246B7" w:rsidP="003A2867">
            <w:pPr>
              <w:spacing w:before="240" w:line="240" w:lineRule="auto"/>
              <w:rPr>
                <w:rFonts w:cs="Calibri"/>
              </w:rPr>
            </w:pPr>
            <w:r>
              <w:rPr>
                <w:rFonts w:cs="Calibri"/>
              </w:rPr>
              <w:t xml:space="preserve">No. </w:t>
            </w:r>
            <w:r w:rsidR="00A93EC7">
              <w:rPr>
                <w:rFonts w:cs="Calibri"/>
              </w:rPr>
              <w:t xml:space="preserve">A </w:t>
            </w:r>
            <w:r w:rsidR="00BA778B">
              <w:rPr>
                <w:rFonts w:cs="Calibri"/>
              </w:rPr>
              <w:t>V</w:t>
            </w:r>
            <w:r w:rsidR="00A93EC7">
              <w:rPr>
                <w:rFonts w:cs="Calibri"/>
              </w:rPr>
              <w:t xml:space="preserve">endor bidding on Lot 2 – Electronic Online Tax and Accounting Research Database Service </w:t>
            </w:r>
            <w:r w:rsidR="00A93EC7" w:rsidRPr="00BA778B">
              <w:rPr>
                <w:rFonts w:cs="Calibri"/>
                <w:i/>
              </w:rPr>
              <w:t>is</w:t>
            </w:r>
            <w:r w:rsidR="00A93EC7">
              <w:rPr>
                <w:rFonts w:cs="Calibri"/>
              </w:rPr>
              <w:t xml:space="preserve"> required to comply with </w:t>
            </w:r>
            <w:r w:rsidR="009D480A">
              <w:rPr>
                <w:rFonts w:cs="Calibri"/>
              </w:rPr>
              <w:t>Article VIII.4 of Exhibit B –</w:t>
            </w:r>
            <w:r w:rsidR="00A93EC7">
              <w:rPr>
                <w:rFonts w:cs="Calibri"/>
              </w:rPr>
              <w:t xml:space="preserve"> Preliminary Base Contract. </w:t>
            </w:r>
          </w:p>
          <w:p w:rsidR="00086E87" w:rsidRDefault="00A93EC7" w:rsidP="003A2867">
            <w:pPr>
              <w:spacing w:before="240" w:line="240" w:lineRule="auto"/>
              <w:rPr>
                <w:rFonts w:cs="Calibri"/>
              </w:rPr>
            </w:pPr>
            <w:r>
              <w:rPr>
                <w:rFonts w:cs="Calibri"/>
              </w:rPr>
              <w:t>However, with respect to Lot 2,</w:t>
            </w:r>
            <w:r w:rsidR="00BA778B">
              <w:rPr>
                <w:rFonts w:cs="Calibri"/>
              </w:rPr>
              <w:t xml:space="preserve"> the Department has established</w:t>
            </w:r>
            <w:r>
              <w:rPr>
                <w:rFonts w:cs="Calibri"/>
              </w:rPr>
              <w:t xml:space="preserve"> an overall goal of 0% for Minority and Women-Owned Business Enterprises (“MWBE”) </w:t>
            </w:r>
            <w:r w:rsidR="00BA778B">
              <w:rPr>
                <w:rFonts w:cs="Calibri"/>
              </w:rPr>
              <w:t xml:space="preserve">participation. </w:t>
            </w:r>
            <w:r w:rsidR="00086E87">
              <w:rPr>
                <w:rFonts w:cs="Calibri"/>
              </w:rPr>
              <w:t>Therefore, the following sections of Article VIII.4.</w:t>
            </w:r>
            <w:r w:rsidR="002246B7">
              <w:rPr>
                <w:rFonts w:cs="Calibri"/>
              </w:rPr>
              <w:t xml:space="preserve"> </w:t>
            </w:r>
            <w:r w:rsidR="00086E87">
              <w:rPr>
                <w:rFonts w:cs="Calibri"/>
              </w:rPr>
              <w:t>are not applicable to the resulting Lot 2 Contract</w:t>
            </w:r>
          </w:p>
          <w:p w:rsidR="00086E87" w:rsidRDefault="00086E87" w:rsidP="003A2867">
            <w:pPr>
              <w:pStyle w:val="ListParagraph"/>
              <w:numPr>
                <w:ilvl w:val="0"/>
                <w:numId w:val="18"/>
              </w:numPr>
              <w:spacing w:before="240" w:line="240" w:lineRule="auto"/>
              <w:rPr>
                <w:rFonts w:cs="Calibri"/>
              </w:rPr>
            </w:pPr>
            <w:r>
              <w:rPr>
                <w:rFonts w:cs="Calibri"/>
              </w:rPr>
              <w:t>Article VIII.4.d. Attachment 3 of the IFB -</w:t>
            </w:r>
            <w:r w:rsidRPr="00086E87">
              <w:rPr>
                <w:rFonts w:cs="Calibri"/>
              </w:rPr>
              <w:t xml:space="preserve"> MWBE Utilization Plan</w:t>
            </w:r>
            <w:r>
              <w:rPr>
                <w:rFonts w:cs="Calibri"/>
              </w:rPr>
              <w:t>.</w:t>
            </w:r>
            <w:r w:rsidRPr="00086E87">
              <w:rPr>
                <w:rFonts w:cs="Calibri"/>
              </w:rPr>
              <w:t xml:space="preserve"> </w:t>
            </w:r>
          </w:p>
          <w:p w:rsidR="00086E87" w:rsidRDefault="00086E87" w:rsidP="003A2867">
            <w:pPr>
              <w:pStyle w:val="ListParagraph"/>
              <w:numPr>
                <w:ilvl w:val="0"/>
                <w:numId w:val="18"/>
              </w:numPr>
              <w:spacing w:before="240" w:line="240" w:lineRule="auto"/>
              <w:rPr>
                <w:rFonts w:cs="Calibri"/>
              </w:rPr>
            </w:pPr>
            <w:r w:rsidRPr="00086E87">
              <w:rPr>
                <w:rFonts w:cs="Calibri"/>
              </w:rPr>
              <w:t>Article VIII.4.e</w:t>
            </w:r>
            <w:r>
              <w:rPr>
                <w:rFonts w:cs="Calibri"/>
              </w:rPr>
              <w:t>. Exhibit F of the IFB -</w:t>
            </w:r>
            <w:r w:rsidRPr="00086E87">
              <w:rPr>
                <w:rFonts w:cs="Calibri"/>
              </w:rPr>
              <w:t xml:space="preserve"> Request for Waiver Form</w:t>
            </w:r>
            <w:r>
              <w:rPr>
                <w:rFonts w:cs="Calibri"/>
              </w:rPr>
              <w:t>.</w:t>
            </w:r>
            <w:r w:rsidRPr="00086E87">
              <w:rPr>
                <w:rFonts w:cs="Calibri"/>
              </w:rPr>
              <w:t xml:space="preserve"> </w:t>
            </w:r>
          </w:p>
          <w:p w:rsidR="003362C0" w:rsidRDefault="00086E87" w:rsidP="003A2867">
            <w:pPr>
              <w:pStyle w:val="ListParagraph"/>
              <w:numPr>
                <w:ilvl w:val="0"/>
                <w:numId w:val="18"/>
              </w:numPr>
              <w:spacing w:before="240" w:line="240" w:lineRule="auto"/>
              <w:rPr>
                <w:rFonts w:cs="Calibri"/>
              </w:rPr>
            </w:pPr>
            <w:r>
              <w:rPr>
                <w:rFonts w:cs="Calibri"/>
              </w:rPr>
              <w:t xml:space="preserve">Article VIII.4.f. </w:t>
            </w:r>
            <w:r w:rsidRPr="00086E87">
              <w:rPr>
                <w:rFonts w:cs="Calibri"/>
              </w:rPr>
              <w:t xml:space="preserve">Exhibit G of the IFB </w:t>
            </w:r>
            <w:r>
              <w:rPr>
                <w:rFonts w:cs="Calibri"/>
              </w:rPr>
              <w:t>– Quarterly MWBE Contractor Compliance Report.</w:t>
            </w:r>
          </w:p>
          <w:p w:rsidR="00086E87" w:rsidRPr="00086E87" w:rsidRDefault="00086E87" w:rsidP="003A2867">
            <w:pPr>
              <w:pStyle w:val="ListParagraph"/>
              <w:numPr>
                <w:ilvl w:val="0"/>
                <w:numId w:val="18"/>
              </w:numPr>
              <w:spacing w:before="240" w:line="240" w:lineRule="auto"/>
              <w:rPr>
                <w:rFonts w:cs="Calibri"/>
              </w:rPr>
            </w:pPr>
            <w:r>
              <w:rPr>
                <w:rFonts w:cs="Calibri"/>
              </w:rPr>
              <w:t>Article VIII.4.g. Liquidated Damages – MWBE Participation.</w:t>
            </w:r>
          </w:p>
        </w:tc>
      </w:tr>
      <w:tr w:rsidR="00314B3B" w:rsidRPr="000B1A5A" w:rsidTr="00B04F86">
        <w:tc>
          <w:tcPr>
            <w:tcW w:w="327" w:type="pct"/>
          </w:tcPr>
          <w:p w:rsidR="00314B3B" w:rsidRPr="001E3D21" w:rsidRDefault="00314B3B" w:rsidP="00314B3B">
            <w:pPr>
              <w:spacing w:before="240" w:line="240" w:lineRule="auto"/>
              <w:jc w:val="center"/>
              <w:rPr>
                <w:rFonts w:cs="Calibri"/>
              </w:rPr>
            </w:pPr>
            <w:r>
              <w:rPr>
                <w:rFonts w:cs="Calibri"/>
              </w:rPr>
              <w:t>15</w:t>
            </w:r>
          </w:p>
        </w:tc>
        <w:tc>
          <w:tcPr>
            <w:tcW w:w="1005" w:type="pct"/>
          </w:tcPr>
          <w:p w:rsidR="00314B3B" w:rsidRDefault="00314B3B" w:rsidP="00314B3B">
            <w:pPr>
              <w:spacing w:before="240" w:line="240" w:lineRule="auto"/>
              <w:rPr>
                <w:rFonts w:cs="Calibri"/>
              </w:rPr>
            </w:pPr>
            <w:r>
              <w:rPr>
                <w:rFonts w:cs="Calibri"/>
              </w:rPr>
              <w:t>Exhibit B, VIII.4 (a)(</w:t>
            </w:r>
            <w:proofErr w:type="spellStart"/>
            <w:r>
              <w:rPr>
                <w:rFonts w:cs="Calibri"/>
              </w:rPr>
              <w:t>i</w:t>
            </w:r>
            <w:proofErr w:type="spellEnd"/>
            <w:r>
              <w:rPr>
                <w:rFonts w:cs="Calibri"/>
              </w:rPr>
              <w:t>)</w:t>
            </w:r>
          </w:p>
          <w:p w:rsidR="00314B3B" w:rsidRPr="001E3D21" w:rsidRDefault="00314B3B" w:rsidP="00314B3B">
            <w:pPr>
              <w:spacing w:before="240" w:line="240" w:lineRule="auto"/>
              <w:rPr>
                <w:rFonts w:cs="Calibri"/>
              </w:rPr>
            </w:pPr>
            <w:r>
              <w:rPr>
                <w:rFonts w:cs="Calibri"/>
              </w:rPr>
              <w:t xml:space="preserve">Preliminary Contract, Continuing Administrative Requirements, Participation by Minority Group Members and </w:t>
            </w:r>
            <w:r>
              <w:rPr>
                <w:rFonts w:cs="Calibri"/>
              </w:rPr>
              <w:lastRenderedPageBreak/>
              <w:t>Women with Respect to State Contracts, General Provisions</w:t>
            </w:r>
          </w:p>
        </w:tc>
        <w:tc>
          <w:tcPr>
            <w:tcW w:w="424" w:type="pct"/>
          </w:tcPr>
          <w:p w:rsidR="00314B3B" w:rsidRPr="001E3D21" w:rsidRDefault="00314B3B" w:rsidP="00314B3B">
            <w:pPr>
              <w:spacing w:before="240" w:line="240" w:lineRule="auto"/>
              <w:rPr>
                <w:rFonts w:cs="Calibri"/>
              </w:rPr>
            </w:pPr>
            <w:r>
              <w:rPr>
                <w:rFonts w:cs="Calibri"/>
              </w:rPr>
              <w:lastRenderedPageBreak/>
              <w:t>7</w:t>
            </w:r>
          </w:p>
        </w:tc>
        <w:tc>
          <w:tcPr>
            <w:tcW w:w="1383" w:type="pct"/>
          </w:tcPr>
          <w:p w:rsidR="00314B3B" w:rsidRPr="00777CA0" w:rsidRDefault="00314B3B" w:rsidP="003A2867">
            <w:r>
              <w:t>Does 4(a</w:t>
            </w:r>
            <w:proofErr w:type="gramStart"/>
            <w:r>
              <w:t>)(</w:t>
            </w:r>
            <w:proofErr w:type="gramEnd"/>
            <w:r>
              <w:t>I) $25k cap apply to each year, or the full 5 year term of the Agreement?</w:t>
            </w:r>
          </w:p>
        </w:tc>
        <w:tc>
          <w:tcPr>
            <w:tcW w:w="1861" w:type="pct"/>
          </w:tcPr>
          <w:p w:rsidR="0082589B" w:rsidRDefault="0082589B" w:rsidP="003A2867">
            <w:pPr>
              <w:overflowPunct w:val="0"/>
              <w:autoSpaceDE w:val="0"/>
              <w:autoSpaceDN w:val="0"/>
              <w:adjustRightInd w:val="0"/>
              <w:spacing w:before="240" w:after="0"/>
              <w:textAlignment w:val="baseline"/>
              <w:rPr>
                <w:rFonts w:cs="Calibri"/>
              </w:rPr>
            </w:pPr>
            <w:r w:rsidRPr="0082589B">
              <w:rPr>
                <w:rFonts w:cs="Calibri"/>
              </w:rPr>
              <w:t>The Department is required to implement the provisions of New York State Executive Law Article 15-A and 5 NYCRR Parts 140-145 (“MWBE Regulations”) for all State contracts with a value in excess of $25,000 for labor, services, equipment, materials, or any combination of the foregoing</w:t>
            </w:r>
            <w:r>
              <w:rPr>
                <w:rFonts w:cs="Calibri"/>
              </w:rPr>
              <w:t>.</w:t>
            </w:r>
            <w:r w:rsidRPr="0082589B">
              <w:rPr>
                <w:rFonts w:cs="Calibri"/>
              </w:rPr>
              <w:t xml:space="preserve">  </w:t>
            </w:r>
            <w:r>
              <w:rPr>
                <w:rFonts w:cs="Calibri"/>
              </w:rPr>
              <w:t>The $25,000 i</w:t>
            </w:r>
            <w:r w:rsidR="00057E70">
              <w:rPr>
                <w:rFonts w:cs="Calibri"/>
              </w:rPr>
              <w:t xml:space="preserve">s </w:t>
            </w:r>
            <w:r w:rsidR="00E22425">
              <w:rPr>
                <w:rFonts w:cs="Calibri"/>
              </w:rPr>
              <w:t>not a “cap,”</w:t>
            </w:r>
            <w:r>
              <w:rPr>
                <w:rFonts w:cs="Calibri"/>
              </w:rPr>
              <w:t xml:space="preserve"> but rather </w:t>
            </w:r>
            <w:r>
              <w:rPr>
                <w:rFonts w:cs="Calibri"/>
              </w:rPr>
              <w:lastRenderedPageBreak/>
              <w:t>the minimum threshold for MWBE Regulations implementation.</w:t>
            </w:r>
          </w:p>
          <w:p w:rsidR="00314B3B" w:rsidRDefault="0082589B" w:rsidP="003A2867">
            <w:pPr>
              <w:spacing w:before="240" w:line="240" w:lineRule="auto"/>
              <w:rPr>
                <w:rFonts w:cs="Calibri"/>
              </w:rPr>
            </w:pPr>
            <w:r>
              <w:rPr>
                <w:rFonts w:cs="Calibri"/>
              </w:rPr>
              <w:t>Accordingly, t</w:t>
            </w:r>
            <w:r w:rsidR="00A418E0">
              <w:rPr>
                <w:rFonts w:cs="Calibri"/>
              </w:rPr>
              <w:t xml:space="preserve">he contract value will be calculated based upon </w:t>
            </w:r>
            <w:r w:rsidR="002270DA">
              <w:rPr>
                <w:rFonts w:cs="Calibri"/>
              </w:rPr>
              <w:t>anticipated services</w:t>
            </w:r>
            <w:r w:rsidR="00A418E0">
              <w:rPr>
                <w:rFonts w:cs="Calibri"/>
              </w:rPr>
              <w:t xml:space="preserve"> for the initial two (2) year term. </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lastRenderedPageBreak/>
              <w:t>16</w:t>
            </w:r>
          </w:p>
        </w:tc>
        <w:tc>
          <w:tcPr>
            <w:tcW w:w="1005" w:type="pct"/>
          </w:tcPr>
          <w:p w:rsidR="00314B3B" w:rsidRPr="00153FD1" w:rsidRDefault="00314B3B" w:rsidP="00314B3B">
            <w:pPr>
              <w:spacing w:before="240" w:line="240" w:lineRule="auto"/>
              <w:rPr>
                <w:rFonts w:cs="Calibri"/>
              </w:rPr>
            </w:pPr>
            <w:r w:rsidRPr="00153FD1">
              <w:rPr>
                <w:rFonts w:cs="Calibri"/>
              </w:rPr>
              <w:t>II.A</w:t>
            </w:r>
          </w:p>
          <w:p w:rsidR="00314B3B" w:rsidRPr="00EA21BD" w:rsidRDefault="00314B3B" w:rsidP="00314B3B">
            <w:pPr>
              <w:spacing w:before="240" w:line="240" w:lineRule="auto"/>
              <w:rPr>
                <w:rFonts w:cs="Calibri"/>
                <w:highlight w:val="yellow"/>
              </w:rPr>
            </w:pPr>
            <w:r w:rsidRPr="00153FD1">
              <w:rPr>
                <w:rFonts w:cs="Calibri"/>
              </w:rPr>
              <w:t>Mandatory Technical Requirements, Lot 1 - Tax Law Handbook Technical Requirements</w:t>
            </w:r>
          </w:p>
        </w:tc>
        <w:tc>
          <w:tcPr>
            <w:tcW w:w="424" w:type="pct"/>
          </w:tcPr>
          <w:p w:rsidR="00314B3B" w:rsidRDefault="00314B3B" w:rsidP="00314B3B">
            <w:pPr>
              <w:spacing w:before="240" w:line="240" w:lineRule="auto"/>
              <w:rPr>
                <w:rFonts w:cs="Calibri"/>
              </w:rPr>
            </w:pPr>
            <w:r>
              <w:rPr>
                <w:rFonts w:cs="Calibri"/>
              </w:rPr>
              <w:t>13</w:t>
            </w:r>
          </w:p>
        </w:tc>
        <w:tc>
          <w:tcPr>
            <w:tcW w:w="1383" w:type="pct"/>
          </w:tcPr>
          <w:p w:rsidR="00314B3B" w:rsidRDefault="00314B3B" w:rsidP="003A2867">
            <w:r>
              <w:t>Can you provide the current Table of Contents for each of the 4 books</w:t>
            </w:r>
          </w:p>
        </w:tc>
        <w:tc>
          <w:tcPr>
            <w:tcW w:w="1861" w:type="pct"/>
          </w:tcPr>
          <w:p w:rsidR="00314B3B" w:rsidRDefault="00314B3B" w:rsidP="003A2867">
            <w:r>
              <w:t xml:space="preserve">No. </w:t>
            </w:r>
          </w:p>
          <w:p w:rsidR="00314B3B" w:rsidRDefault="00314B3B" w:rsidP="003A2867">
            <w:pPr>
              <w:spacing w:before="240" w:line="240" w:lineRule="auto"/>
              <w:rPr>
                <w:rFonts w:cs="Calibri"/>
              </w:rPr>
            </w:pPr>
            <w:r>
              <w:t>The IFB (at section II.A.) as clarified by DTF’s responses to Question</w:t>
            </w:r>
            <w:r w:rsidR="004A39BC">
              <w:t>s 3</w:t>
            </w:r>
            <w:r>
              <w:t>-6 above, sets forth ALL Lot 1 content that DTF seeks to obtain via this IFB. That is the information that should be used by Bidders in preparing their Lot 1 Bid submissions.</w:t>
            </w:r>
          </w:p>
        </w:tc>
      </w:tr>
      <w:tr w:rsidR="00314B3B" w:rsidRPr="000B1A5A" w:rsidTr="00B04F86">
        <w:tc>
          <w:tcPr>
            <w:tcW w:w="327" w:type="pct"/>
          </w:tcPr>
          <w:p w:rsidR="00314B3B" w:rsidRDefault="00314B3B" w:rsidP="00314B3B">
            <w:pPr>
              <w:spacing w:before="240" w:line="240" w:lineRule="auto"/>
              <w:jc w:val="center"/>
              <w:rPr>
                <w:rFonts w:cs="Calibri"/>
              </w:rPr>
            </w:pPr>
            <w:r>
              <w:rPr>
                <w:rFonts w:cs="Calibri"/>
              </w:rPr>
              <w:t>17</w:t>
            </w:r>
          </w:p>
        </w:tc>
        <w:tc>
          <w:tcPr>
            <w:tcW w:w="1005" w:type="pct"/>
          </w:tcPr>
          <w:p w:rsidR="00314B3B" w:rsidRPr="00153FD1" w:rsidRDefault="00314B3B" w:rsidP="00314B3B">
            <w:pPr>
              <w:spacing w:before="240" w:line="240" w:lineRule="auto"/>
              <w:rPr>
                <w:rFonts w:cs="Calibri"/>
              </w:rPr>
            </w:pPr>
            <w:r w:rsidRPr="00153FD1">
              <w:rPr>
                <w:rFonts w:cs="Calibri"/>
              </w:rPr>
              <w:t>II.B</w:t>
            </w:r>
          </w:p>
          <w:p w:rsidR="00314B3B" w:rsidRDefault="00314B3B" w:rsidP="00314B3B">
            <w:pPr>
              <w:spacing w:before="240" w:line="240" w:lineRule="auto"/>
              <w:rPr>
                <w:rFonts w:cs="Calibri"/>
              </w:rPr>
            </w:pPr>
            <w:r w:rsidRPr="00153FD1">
              <w:rPr>
                <w:rFonts w:cs="Calibri"/>
              </w:rPr>
              <w:t>Mandatory Technical Requirements, Lot 2 – Electronic Online Tax and Accounting Research Database Service Technical Requirements</w:t>
            </w:r>
          </w:p>
        </w:tc>
        <w:tc>
          <w:tcPr>
            <w:tcW w:w="424" w:type="pct"/>
          </w:tcPr>
          <w:p w:rsidR="00314B3B" w:rsidRDefault="00314B3B" w:rsidP="00314B3B">
            <w:pPr>
              <w:spacing w:before="240" w:line="240" w:lineRule="auto"/>
              <w:rPr>
                <w:rFonts w:cs="Calibri"/>
              </w:rPr>
            </w:pPr>
            <w:r>
              <w:rPr>
                <w:rFonts w:cs="Calibri"/>
              </w:rPr>
              <w:t>16</w:t>
            </w:r>
          </w:p>
        </w:tc>
        <w:tc>
          <w:tcPr>
            <w:tcW w:w="1383" w:type="pct"/>
          </w:tcPr>
          <w:p w:rsidR="00314B3B" w:rsidRDefault="00314B3B" w:rsidP="003A2867">
            <w:r>
              <w:t>Do you have an existing database?  If so, what is the current amount being paid for the subscription?</w:t>
            </w:r>
          </w:p>
        </w:tc>
        <w:tc>
          <w:tcPr>
            <w:tcW w:w="1861" w:type="pct"/>
          </w:tcPr>
          <w:p w:rsidR="00322D32" w:rsidRDefault="00892042" w:rsidP="003A2867">
            <w:pPr>
              <w:tabs>
                <w:tab w:val="left" w:pos="1007"/>
                <w:tab w:val="left" w:pos="1199"/>
                <w:tab w:val="left" w:pos="1331"/>
              </w:tabs>
              <w:rPr>
                <w:rFonts w:cs="Calibri"/>
              </w:rPr>
            </w:pPr>
            <w:r>
              <w:t>Yes</w:t>
            </w:r>
            <w:r w:rsidR="008F589B">
              <w:t>, the Department currently has a database subscription</w:t>
            </w:r>
            <w:r>
              <w:t>. The</w:t>
            </w:r>
            <w:r w:rsidR="00853BF9">
              <w:t xml:space="preserve"> last</w:t>
            </w:r>
            <w:r>
              <w:t xml:space="preserve"> a</w:t>
            </w:r>
            <w:r w:rsidR="00853BF9">
              <w:t xml:space="preserve">nnual </w:t>
            </w:r>
            <w:r w:rsidR="00BD063C">
              <w:t>renewal</w:t>
            </w:r>
            <w:r w:rsidR="00853BF9">
              <w:t xml:space="preserve"> </w:t>
            </w:r>
            <w:r>
              <w:t>was $9</w:t>
            </w:r>
            <w:r w:rsidR="00853BF9">
              <w:t>4,312.40.</w:t>
            </w:r>
          </w:p>
        </w:tc>
      </w:tr>
    </w:tbl>
    <w:p w:rsidR="00314B3B" w:rsidRDefault="00314B3B" w:rsidP="00314B3B"/>
    <w:p w:rsidR="00314B3B" w:rsidRDefault="00314B3B" w:rsidP="00314B3B"/>
    <w:p w:rsidR="00CF3B2C" w:rsidRDefault="00CF3B2C" w:rsidP="00ED61F2">
      <w:pPr>
        <w:ind w:left="240"/>
        <w:rPr>
          <w:rFonts w:cs="Arial"/>
        </w:rPr>
        <w:sectPr w:rsidR="00CF3B2C" w:rsidSect="00CF3B2C">
          <w:headerReference w:type="first" r:id="rId11"/>
          <w:footnotePr>
            <w:numFmt w:val="lowerLetter"/>
          </w:footnotePr>
          <w:endnotePr>
            <w:numFmt w:val="lowerLetter"/>
          </w:endnotePr>
          <w:pgSz w:w="15840" w:h="12240" w:orient="landscape" w:code="1"/>
          <w:pgMar w:top="1440" w:right="1440" w:bottom="1440" w:left="1440" w:header="360" w:footer="1008" w:gutter="0"/>
          <w:cols w:space="720"/>
          <w:titlePg/>
          <w:docGrid w:linePitch="326"/>
        </w:sectPr>
      </w:pPr>
    </w:p>
    <w:p w:rsidR="0095225D" w:rsidRPr="0095225D" w:rsidRDefault="0095225D" w:rsidP="0095225D">
      <w:pPr>
        <w:keepNext/>
        <w:spacing w:before="240" w:after="60"/>
        <w:jc w:val="center"/>
        <w:outlineLvl w:val="0"/>
        <w:rPr>
          <w:rFonts w:eastAsia="Times New Roman" w:cs="Calibri"/>
          <w:bCs/>
          <w:noProof/>
          <w:kern w:val="32"/>
          <w:sz w:val="28"/>
          <w:szCs w:val="28"/>
        </w:rPr>
      </w:pPr>
      <w:bookmarkStart w:id="1" w:name="_Toc461795691"/>
      <w:bookmarkEnd w:id="0"/>
      <w:r w:rsidRPr="0095225D">
        <w:rPr>
          <w:rFonts w:eastAsia="Times New Roman" w:cs="Calibri"/>
          <w:bCs/>
          <w:noProof/>
          <w:kern w:val="32"/>
          <w:sz w:val="28"/>
          <w:szCs w:val="28"/>
        </w:rPr>
        <w:lastRenderedPageBreak/>
        <w:t>Schedule of Events</w:t>
      </w:r>
      <w:bookmarkEnd w:id="1"/>
    </w:p>
    <w:tbl>
      <w:tblPr>
        <w:tblW w:w="0" w:type="auto"/>
        <w:tblLook w:val="04A0" w:firstRow="1" w:lastRow="0" w:firstColumn="1" w:lastColumn="0" w:noHBand="0" w:noVBand="1"/>
      </w:tblPr>
      <w:tblGrid>
        <w:gridCol w:w="6948"/>
        <w:gridCol w:w="2628"/>
      </w:tblGrid>
      <w:tr w:rsidR="0095225D" w:rsidRPr="0095225D" w:rsidTr="0095225D">
        <w:tc>
          <w:tcPr>
            <w:tcW w:w="6948" w:type="dxa"/>
          </w:tcPr>
          <w:p w:rsidR="0095225D" w:rsidRPr="0095225D" w:rsidRDefault="0095225D" w:rsidP="0095225D">
            <w:pPr>
              <w:spacing w:before="240" w:line="360" w:lineRule="auto"/>
              <w:rPr>
                <w:noProof/>
              </w:rPr>
            </w:pPr>
            <w:r w:rsidRPr="0095225D">
              <w:rPr>
                <w:noProof/>
              </w:rPr>
              <w:t>Issuance of IFB</w:t>
            </w:r>
          </w:p>
        </w:tc>
        <w:tc>
          <w:tcPr>
            <w:tcW w:w="2628" w:type="dxa"/>
          </w:tcPr>
          <w:p w:rsidR="0095225D" w:rsidRPr="0095225D" w:rsidRDefault="0095225D" w:rsidP="0095225D">
            <w:pPr>
              <w:spacing w:before="240" w:line="360" w:lineRule="auto"/>
              <w:jc w:val="center"/>
              <w:rPr>
                <w:noProof/>
              </w:rPr>
            </w:pPr>
            <w:r w:rsidRPr="0095225D">
              <w:rPr>
                <w:noProof/>
              </w:rPr>
              <w:t>September 22, 2016</w:t>
            </w:r>
          </w:p>
        </w:tc>
      </w:tr>
      <w:tr w:rsidR="0095225D" w:rsidRPr="0095225D" w:rsidTr="0095225D">
        <w:tc>
          <w:tcPr>
            <w:tcW w:w="6948" w:type="dxa"/>
          </w:tcPr>
          <w:p w:rsidR="0095225D" w:rsidRPr="0095225D" w:rsidRDefault="0095225D" w:rsidP="0095225D">
            <w:pPr>
              <w:spacing w:before="240" w:line="360" w:lineRule="auto"/>
              <w:rPr>
                <w:noProof/>
              </w:rPr>
            </w:pPr>
            <w:r w:rsidRPr="0095225D">
              <w:rPr>
                <w:noProof/>
              </w:rPr>
              <w:t>Deadline for Filing Offerer Understanding of, and Compliance with, Procurement Lobbying Guidelines</w:t>
            </w:r>
          </w:p>
        </w:tc>
        <w:tc>
          <w:tcPr>
            <w:tcW w:w="2628" w:type="dxa"/>
          </w:tcPr>
          <w:p w:rsidR="0095225D" w:rsidRPr="0095225D" w:rsidRDefault="0095225D" w:rsidP="0095225D">
            <w:pPr>
              <w:spacing w:before="240" w:line="360" w:lineRule="auto"/>
              <w:jc w:val="center"/>
              <w:rPr>
                <w:noProof/>
              </w:rPr>
            </w:pPr>
            <w:r w:rsidRPr="0095225D">
              <w:rPr>
                <w:noProof/>
              </w:rPr>
              <w:t>October 6, 2016</w:t>
            </w:r>
          </w:p>
        </w:tc>
      </w:tr>
      <w:tr w:rsidR="0095225D" w:rsidRPr="0095225D" w:rsidTr="0095225D">
        <w:tc>
          <w:tcPr>
            <w:tcW w:w="6948" w:type="dxa"/>
          </w:tcPr>
          <w:p w:rsidR="0095225D" w:rsidRPr="0095225D" w:rsidRDefault="0095225D" w:rsidP="0095225D">
            <w:pPr>
              <w:spacing w:before="240" w:line="360" w:lineRule="auto"/>
              <w:rPr>
                <w:noProof/>
              </w:rPr>
            </w:pPr>
            <w:r w:rsidRPr="0095225D">
              <w:rPr>
                <w:noProof/>
              </w:rPr>
              <w:t>Deadline for Submission of Questions</w:t>
            </w:r>
          </w:p>
        </w:tc>
        <w:tc>
          <w:tcPr>
            <w:tcW w:w="2628" w:type="dxa"/>
          </w:tcPr>
          <w:p w:rsidR="0095225D" w:rsidRPr="0095225D" w:rsidRDefault="0095225D" w:rsidP="0095225D">
            <w:pPr>
              <w:spacing w:before="240" w:line="360" w:lineRule="auto"/>
              <w:jc w:val="center"/>
              <w:rPr>
                <w:noProof/>
              </w:rPr>
            </w:pPr>
            <w:r w:rsidRPr="0095225D">
              <w:rPr>
                <w:noProof/>
              </w:rPr>
              <w:t>October 6, 2016</w:t>
            </w:r>
          </w:p>
        </w:tc>
      </w:tr>
      <w:tr w:rsidR="0095225D" w:rsidRPr="0095225D" w:rsidTr="0095225D">
        <w:tc>
          <w:tcPr>
            <w:tcW w:w="6948" w:type="dxa"/>
          </w:tcPr>
          <w:p w:rsidR="0095225D" w:rsidRPr="0095225D" w:rsidRDefault="0095225D" w:rsidP="0095225D">
            <w:pPr>
              <w:spacing w:before="240" w:line="360" w:lineRule="auto"/>
              <w:rPr>
                <w:noProof/>
              </w:rPr>
            </w:pPr>
            <w:r w:rsidRPr="0095225D">
              <w:rPr>
                <w:noProof/>
              </w:rPr>
              <w:t>Department Response to Bidder Questions</w:t>
            </w:r>
          </w:p>
        </w:tc>
        <w:tc>
          <w:tcPr>
            <w:tcW w:w="2628" w:type="dxa"/>
          </w:tcPr>
          <w:p w:rsidR="0002720A" w:rsidRPr="0044093E" w:rsidRDefault="00153FD1" w:rsidP="0095225D">
            <w:pPr>
              <w:spacing w:before="240" w:line="360" w:lineRule="auto"/>
              <w:jc w:val="center"/>
              <w:rPr>
                <w:noProof/>
                <w:color w:val="0070C0"/>
              </w:rPr>
            </w:pPr>
            <w:r w:rsidRPr="00153FD1">
              <w:rPr>
                <w:noProof/>
              </w:rPr>
              <w:t xml:space="preserve">October 13, 2016 </w:t>
            </w:r>
          </w:p>
        </w:tc>
      </w:tr>
      <w:tr w:rsidR="0095225D" w:rsidRPr="0095225D" w:rsidTr="0095225D">
        <w:tc>
          <w:tcPr>
            <w:tcW w:w="6948" w:type="dxa"/>
          </w:tcPr>
          <w:p w:rsidR="0095225D" w:rsidRPr="0095225D" w:rsidRDefault="0095225D" w:rsidP="0095225D">
            <w:pPr>
              <w:spacing w:before="240" w:line="360" w:lineRule="auto"/>
              <w:rPr>
                <w:noProof/>
              </w:rPr>
            </w:pPr>
            <w:r w:rsidRPr="0095225D">
              <w:rPr>
                <w:noProof/>
              </w:rPr>
              <w:t>Proposals Due</w:t>
            </w:r>
          </w:p>
        </w:tc>
        <w:tc>
          <w:tcPr>
            <w:tcW w:w="2628" w:type="dxa"/>
          </w:tcPr>
          <w:p w:rsidR="0095225D" w:rsidRDefault="0095225D" w:rsidP="0095225D">
            <w:pPr>
              <w:spacing w:before="240" w:line="360" w:lineRule="auto"/>
              <w:jc w:val="center"/>
              <w:rPr>
                <w:strike/>
                <w:noProof/>
                <w:color w:val="0070C0"/>
              </w:rPr>
            </w:pPr>
            <w:r w:rsidRPr="0002720A">
              <w:rPr>
                <w:strike/>
                <w:noProof/>
                <w:color w:val="0070C0"/>
              </w:rPr>
              <w:t>October 18, 2016</w:t>
            </w:r>
            <w:r w:rsidRPr="0002720A">
              <w:rPr>
                <w:noProof/>
                <w:color w:val="0070C0"/>
              </w:rPr>
              <w:t xml:space="preserve"> </w:t>
            </w:r>
            <w:r w:rsidRPr="0002720A">
              <w:rPr>
                <w:strike/>
                <w:noProof/>
                <w:color w:val="0070C0"/>
              </w:rPr>
              <w:t>by 2:00 PM ET</w:t>
            </w:r>
          </w:p>
          <w:p w:rsidR="0002720A" w:rsidRPr="0002720A" w:rsidRDefault="00153FD1" w:rsidP="0095225D">
            <w:pPr>
              <w:spacing w:before="240" w:line="360" w:lineRule="auto"/>
              <w:jc w:val="center"/>
              <w:rPr>
                <w:noProof/>
                <w:color w:val="FF0000"/>
              </w:rPr>
            </w:pPr>
            <w:r>
              <w:rPr>
                <w:noProof/>
                <w:color w:val="FF0000"/>
              </w:rPr>
              <w:t>October 25</w:t>
            </w:r>
            <w:r w:rsidR="0002720A" w:rsidRPr="00153FD1">
              <w:rPr>
                <w:noProof/>
                <w:color w:val="FF0000"/>
              </w:rPr>
              <w:t>, 2016 by 2:00 PM ET</w:t>
            </w:r>
          </w:p>
        </w:tc>
      </w:tr>
      <w:tr w:rsidR="0095225D" w:rsidRPr="0095225D" w:rsidTr="0095225D">
        <w:tc>
          <w:tcPr>
            <w:tcW w:w="6948" w:type="dxa"/>
          </w:tcPr>
          <w:p w:rsidR="0095225D" w:rsidRPr="0095225D" w:rsidRDefault="0095225D" w:rsidP="0095225D">
            <w:pPr>
              <w:spacing w:before="240" w:line="360" w:lineRule="auto"/>
              <w:rPr>
                <w:noProof/>
              </w:rPr>
            </w:pPr>
            <w:r w:rsidRPr="0095225D">
              <w:rPr>
                <w:noProof/>
              </w:rPr>
              <w:t>Notification of Intent to Award</w:t>
            </w:r>
          </w:p>
        </w:tc>
        <w:tc>
          <w:tcPr>
            <w:tcW w:w="2628" w:type="dxa"/>
          </w:tcPr>
          <w:p w:rsidR="0095225D" w:rsidRDefault="0095225D" w:rsidP="0095225D">
            <w:pPr>
              <w:spacing w:before="240" w:line="360" w:lineRule="auto"/>
              <w:jc w:val="center"/>
              <w:rPr>
                <w:strike/>
                <w:noProof/>
                <w:color w:val="0070C0"/>
              </w:rPr>
            </w:pPr>
            <w:r w:rsidRPr="00153FD1">
              <w:rPr>
                <w:strike/>
                <w:noProof/>
                <w:color w:val="0070C0"/>
              </w:rPr>
              <w:t>October 21, 2016</w:t>
            </w:r>
          </w:p>
          <w:p w:rsidR="00153FD1" w:rsidRPr="00153FD1" w:rsidRDefault="00153FD1" w:rsidP="0095225D">
            <w:pPr>
              <w:spacing w:before="240" w:line="360" w:lineRule="auto"/>
              <w:jc w:val="center"/>
              <w:rPr>
                <w:noProof/>
                <w:color w:val="FF0000"/>
              </w:rPr>
            </w:pPr>
            <w:r w:rsidRPr="00153FD1">
              <w:rPr>
                <w:noProof/>
                <w:color w:val="FF0000"/>
              </w:rPr>
              <w:t>October 28, 2016</w:t>
            </w:r>
          </w:p>
        </w:tc>
      </w:tr>
      <w:tr w:rsidR="0095225D" w:rsidRPr="0095225D" w:rsidTr="0095225D">
        <w:tc>
          <w:tcPr>
            <w:tcW w:w="6948" w:type="dxa"/>
          </w:tcPr>
          <w:p w:rsidR="0095225D" w:rsidRPr="0095225D" w:rsidRDefault="0095225D" w:rsidP="0095225D">
            <w:pPr>
              <w:spacing w:before="240" w:line="360" w:lineRule="auto"/>
              <w:rPr>
                <w:noProof/>
              </w:rPr>
            </w:pPr>
            <w:r w:rsidRPr="0095225D">
              <w:rPr>
                <w:noProof/>
              </w:rPr>
              <w:t>Deadline for Contract Signature</w:t>
            </w:r>
          </w:p>
        </w:tc>
        <w:tc>
          <w:tcPr>
            <w:tcW w:w="2628" w:type="dxa"/>
          </w:tcPr>
          <w:p w:rsidR="0095225D" w:rsidRDefault="0095225D" w:rsidP="0095225D">
            <w:pPr>
              <w:spacing w:before="240" w:line="360" w:lineRule="auto"/>
              <w:jc w:val="center"/>
              <w:rPr>
                <w:strike/>
                <w:noProof/>
                <w:color w:val="0070C0"/>
              </w:rPr>
            </w:pPr>
            <w:r w:rsidRPr="00153FD1">
              <w:rPr>
                <w:strike/>
                <w:noProof/>
                <w:color w:val="0070C0"/>
              </w:rPr>
              <w:t>November 21 2016</w:t>
            </w:r>
          </w:p>
          <w:p w:rsidR="00153FD1" w:rsidRPr="00153FD1" w:rsidRDefault="00153FD1" w:rsidP="0095225D">
            <w:pPr>
              <w:spacing w:before="240" w:line="360" w:lineRule="auto"/>
              <w:jc w:val="center"/>
              <w:rPr>
                <w:noProof/>
                <w:color w:val="FF0000"/>
              </w:rPr>
            </w:pPr>
            <w:r w:rsidRPr="00153FD1">
              <w:rPr>
                <w:noProof/>
                <w:color w:val="FF0000"/>
              </w:rPr>
              <w:t>November 28, 2016</w:t>
            </w:r>
          </w:p>
        </w:tc>
      </w:tr>
    </w:tbl>
    <w:p w:rsidR="00B6427C" w:rsidRDefault="00B6427C" w:rsidP="00B6427C">
      <w:pPr>
        <w:tabs>
          <w:tab w:val="center" w:pos="4680"/>
          <w:tab w:val="right" w:pos="9360"/>
        </w:tabs>
        <w:jc w:val="right"/>
      </w:pPr>
    </w:p>
    <w:p w:rsidR="00B6427C" w:rsidRDefault="00B6427C" w:rsidP="00B6427C">
      <w:pPr>
        <w:tabs>
          <w:tab w:val="center" w:pos="4680"/>
          <w:tab w:val="right" w:pos="9360"/>
        </w:tabs>
        <w:jc w:val="right"/>
      </w:pPr>
    </w:p>
    <w:p w:rsidR="00B6427C" w:rsidRDefault="00B6427C" w:rsidP="00B6427C">
      <w:pPr>
        <w:tabs>
          <w:tab w:val="center" w:pos="4680"/>
          <w:tab w:val="right" w:pos="9360"/>
        </w:tabs>
        <w:jc w:val="right"/>
      </w:pPr>
    </w:p>
    <w:p w:rsidR="00B6427C" w:rsidRDefault="00B6427C" w:rsidP="00B6427C">
      <w:pPr>
        <w:tabs>
          <w:tab w:val="center" w:pos="4680"/>
          <w:tab w:val="right" w:pos="9360"/>
        </w:tabs>
        <w:jc w:val="right"/>
      </w:pPr>
    </w:p>
    <w:p w:rsidR="009B40EE" w:rsidRDefault="009B40EE" w:rsidP="00B6427C">
      <w:pPr>
        <w:tabs>
          <w:tab w:val="center" w:pos="4680"/>
          <w:tab w:val="right" w:pos="9360"/>
        </w:tabs>
        <w:jc w:val="right"/>
      </w:pPr>
    </w:p>
    <w:p w:rsidR="009B40EE" w:rsidRDefault="009B40EE" w:rsidP="00B6427C">
      <w:pPr>
        <w:tabs>
          <w:tab w:val="center" w:pos="4680"/>
          <w:tab w:val="right" w:pos="9360"/>
        </w:tabs>
        <w:jc w:val="right"/>
      </w:pPr>
    </w:p>
    <w:p w:rsidR="009B40EE" w:rsidRDefault="009B40EE" w:rsidP="00B6427C">
      <w:pPr>
        <w:tabs>
          <w:tab w:val="center" w:pos="4680"/>
          <w:tab w:val="right" w:pos="9360"/>
        </w:tabs>
        <w:jc w:val="right"/>
      </w:pPr>
    </w:p>
    <w:p w:rsidR="00B6427C" w:rsidRDefault="00693BAF" w:rsidP="00B6427C">
      <w:pPr>
        <w:tabs>
          <w:tab w:val="center" w:pos="4680"/>
          <w:tab w:val="right" w:pos="9360"/>
        </w:tabs>
        <w:jc w:val="right"/>
      </w:pPr>
      <w:r w:rsidRPr="00693BAF">
        <w:t xml:space="preserve">Page </w:t>
      </w:r>
      <w:r w:rsidR="00314B3B">
        <w:rPr>
          <w:b/>
          <w:sz w:val="24"/>
          <w:szCs w:val="24"/>
        </w:rPr>
        <w:t>5</w:t>
      </w:r>
      <w:r w:rsidRPr="00693BAF">
        <w:t xml:space="preserve"> of </w:t>
      </w:r>
      <w:r w:rsidR="00314B3B">
        <w:rPr>
          <w:b/>
          <w:sz w:val="24"/>
          <w:szCs w:val="24"/>
        </w:rPr>
        <w:t>95</w:t>
      </w:r>
    </w:p>
    <w:p w:rsidR="008C2E19" w:rsidRPr="008C2E19" w:rsidRDefault="008C2E19" w:rsidP="008C2E19">
      <w:pPr>
        <w:keepNext/>
        <w:numPr>
          <w:ilvl w:val="0"/>
          <w:numId w:val="2"/>
        </w:numPr>
        <w:spacing w:before="240" w:after="60"/>
        <w:outlineLvl w:val="0"/>
        <w:rPr>
          <w:rFonts w:eastAsia="Times New Roman"/>
          <w:b/>
          <w:bCs/>
          <w:kern w:val="32"/>
          <w:sz w:val="28"/>
          <w:szCs w:val="28"/>
        </w:rPr>
      </w:pPr>
      <w:bookmarkStart w:id="2" w:name="_Toc324517479"/>
      <w:bookmarkStart w:id="3" w:name="_Toc461795710"/>
      <w:r w:rsidRPr="008C2E19">
        <w:rPr>
          <w:rFonts w:eastAsia="Times New Roman"/>
          <w:b/>
          <w:bCs/>
          <w:kern w:val="32"/>
          <w:sz w:val="28"/>
          <w:szCs w:val="28"/>
        </w:rPr>
        <w:lastRenderedPageBreak/>
        <w:t xml:space="preserve">Mandatory Technical </w:t>
      </w:r>
      <w:bookmarkEnd w:id="2"/>
      <w:r w:rsidRPr="008C2E19">
        <w:rPr>
          <w:rFonts w:eastAsia="Times New Roman"/>
          <w:b/>
          <w:bCs/>
          <w:kern w:val="32"/>
          <w:sz w:val="28"/>
          <w:szCs w:val="28"/>
        </w:rPr>
        <w:t>Requirements</w:t>
      </w:r>
      <w:bookmarkEnd w:id="3"/>
    </w:p>
    <w:p w:rsidR="008C2E19" w:rsidRPr="008C2E19" w:rsidRDefault="008C2E19" w:rsidP="008C2E19">
      <w:pPr>
        <w:ind w:left="720"/>
        <w:jc w:val="both"/>
      </w:pPr>
      <w:r w:rsidRPr="008C2E19">
        <w:t xml:space="preserve">Only qualified entities may submit a proposal in response to this IFB.  A qualified entity is defined as one that can, with respect to the Lot they are bidding on, deliver to DTF tax law handbooks and/or services that meet </w:t>
      </w:r>
      <w:r w:rsidRPr="008C2E19">
        <w:rPr>
          <w:b/>
          <w:u w:val="single"/>
        </w:rPr>
        <w:t>all of the following Mandatory Technical Requirements for that Lot</w:t>
      </w:r>
      <w:r w:rsidRPr="008C2E19">
        <w:t>.  Entities that cannot meet all of these Technical Requirements for the particular Lot being bid, should not submit a proposal.</w:t>
      </w:r>
    </w:p>
    <w:p w:rsidR="008C2E19" w:rsidRPr="008C2E19" w:rsidRDefault="008C2E19" w:rsidP="008C2E19">
      <w:pPr>
        <w:keepNext/>
        <w:numPr>
          <w:ilvl w:val="0"/>
          <w:numId w:val="10"/>
        </w:numPr>
        <w:spacing w:before="240" w:after="60"/>
        <w:outlineLvl w:val="1"/>
        <w:rPr>
          <w:rFonts w:ascii="Cambria" w:eastAsia="Times New Roman" w:hAnsi="Cambria"/>
          <w:b/>
          <w:bCs/>
          <w:iCs/>
          <w:sz w:val="28"/>
          <w:szCs w:val="28"/>
        </w:rPr>
      </w:pPr>
      <w:bookmarkStart w:id="4" w:name="_Toc461795711"/>
      <w:r w:rsidRPr="008C2E19">
        <w:rPr>
          <w:rFonts w:ascii="Cambria" w:eastAsia="Times New Roman" w:hAnsi="Cambria"/>
          <w:b/>
          <w:bCs/>
          <w:iCs/>
          <w:sz w:val="28"/>
          <w:szCs w:val="28"/>
        </w:rPr>
        <w:t>Lot 1 - Tax Law Handbook Technical Requirements</w:t>
      </w:r>
      <w:bookmarkEnd w:id="4"/>
      <w:r w:rsidRPr="008C2E19">
        <w:rPr>
          <w:rFonts w:ascii="Cambria" w:eastAsia="Times New Roman" w:hAnsi="Cambria"/>
          <w:b/>
          <w:bCs/>
          <w:iCs/>
          <w:sz w:val="28"/>
          <w:szCs w:val="28"/>
        </w:rPr>
        <w:t xml:space="preserve"> </w:t>
      </w:r>
    </w:p>
    <w:p w:rsidR="008C2E19" w:rsidRPr="008C2E19" w:rsidRDefault="008C2E19" w:rsidP="008C2E19">
      <w:pPr>
        <w:spacing w:line="240" w:lineRule="auto"/>
        <w:ind w:left="1080"/>
        <w:contextualSpacing/>
        <w:jc w:val="both"/>
      </w:pPr>
      <w:r w:rsidRPr="008C2E19">
        <w:rPr>
          <w:rFonts w:cs="Calibri"/>
        </w:rPr>
        <w:t>A.  On an annual basis, the Contractor will be required to compile, print, bind and deliver current tax law handbooks to the Department.</w:t>
      </w:r>
      <w:r w:rsidRPr="008C2E19">
        <w:t xml:space="preserve"> The tax law handbooks must contain content that is current as of December 1</w:t>
      </w:r>
      <w:r w:rsidRPr="008C2E19">
        <w:rPr>
          <w:vertAlign w:val="superscript"/>
        </w:rPr>
        <w:t>st</w:t>
      </w:r>
      <w:r w:rsidRPr="008C2E19">
        <w:t xml:space="preserve"> of the year preceding publication.  Specific required content of each volume (as of the date of issuance of this IFB) is </w:t>
      </w:r>
      <w:r w:rsidRPr="008C2E19">
        <w:rPr>
          <w:rFonts w:cs="Calibri"/>
        </w:rPr>
        <w:t xml:space="preserve">set forth in sections 1-4 below.  However, with each annual publication, the Contractor is required to </w:t>
      </w:r>
      <w:r w:rsidRPr="008C2E19">
        <w:t>include additional Articles or chapters in each of the tax law handbooks, as well as modify or remove obsolete Articles,  as necessary, to keep each tax law handbook’s content accurate, current and complete.</w:t>
      </w:r>
    </w:p>
    <w:p w:rsidR="008C2E19" w:rsidRPr="008C2E19" w:rsidRDefault="008C2E19" w:rsidP="008C2E19">
      <w:pPr>
        <w:spacing w:line="240" w:lineRule="auto"/>
        <w:ind w:left="1440"/>
        <w:contextualSpacing/>
        <w:jc w:val="both"/>
      </w:pPr>
    </w:p>
    <w:p w:rsidR="008C2E19" w:rsidRPr="008C2E19" w:rsidRDefault="008C2E19" w:rsidP="008C2E19">
      <w:pPr>
        <w:numPr>
          <w:ilvl w:val="0"/>
          <w:numId w:val="8"/>
        </w:numPr>
        <w:spacing w:line="240" w:lineRule="auto"/>
        <w:contextualSpacing/>
        <w:rPr>
          <w:rFonts w:cs="Arial"/>
          <w:color w:val="000000"/>
        </w:rPr>
      </w:pPr>
      <w:r w:rsidRPr="008C2E19">
        <w:rPr>
          <w:rFonts w:cs="Arial"/>
          <w:color w:val="000000"/>
          <w:u w:val="single"/>
        </w:rPr>
        <w:t>NYS Tax Law</w:t>
      </w:r>
    </w:p>
    <w:p w:rsidR="008C2E19" w:rsidRPr="008C2E19" w:rsidRDefault="008C2E19" w:rsidP="008C2E19">
      <w:pPr>
        <w:spacing w:line="240" w:lineRule="auto"/>
        <w:ind w:left="2160"/>
        <w:contextualSpacing/>
        <w:rPr>
          <w:rFonts w:cs="Arial"/>
          <w:color w:val="000000"/>
        </w:rPr>
      </w:pPr>
    </w:p>
    <w:p w:rsidR="008C2E19" w:rsidRPr="008C2E19" w:rsidRDefault="008C2E19" w:rsidP="008C2E19">
      <w:pPr>
        <w:spacing w:line="240" w:lineRule="auto"/>
        <w:ind w:left="2160"/>
        <w:contextualSpacing/>
        <w:jc w:val="both"/>
        <w:rPr>
          <w:rFonts w:cs="Arial"/>
          <w:color w:val="000000"/>
        </w:rPr>
      </w:pPr>
      <w:r w:rsidRPr="008C2E19">
        <w:rPr>
          <w:rFonts w:cs="Arial"/>
          <w:color w:val="000000"/>
        </w:rPr>
        <w:t>A comprehensive annual reference handbook that must contain:</w:t>
      </w:r>
    </w:p>
    <w:p w:rsidR="008C2E19" w:rsidRPr="008C2E19" w:rsidRDefault="008C2E19" w:rsidP="008C2E19">
      <w:pPr>
        <w:spacing w:line="240" w:lineRule="auto"/>
        <w:ind w:left="2160"/>
        <w:contextualSpacing/>
        <w:jc w:val="both"/>
        <w:rPr>
          <w:rFonts w:cs="Arial"/>
          <w:color w:val="000000"/>
        </w:rPr>
      </w:pPr>
    </w:p>
    <w:p w:rsidR="008C2E19" w:rsidRPr="008C2E19" w:rsidRDefault="008C2E19" w:rsidP="008C2E19">
      <w:pPr>
        <w:spacing w:line="240" w:lineRule="auto"/>
        <w:ind w:left="2880" w:hanging="720"/>
        <w:contextualSpacing/>
        <w:jc w:val="both"/>
        <w:rPr>
          <w:rFonts w:cs="Arial"/>
          <w:color w:val="000000"/>
        </w:rPr>
      </w:pPr>
      <w:r w:rsidRPr="008C2E19">
        <w:rPr>
          <w:rFonts w:cs="Arial"/>
          <w:color w:val="000000"/>
        </w:rPr>
        <w:t>•</w:t>
      </w:r>
      <w:r w:rsidRPr="008C2E19">
        <w:rPr>
          <w:rFonts w:cs="Arial"/>
          <w:color w:val="000000"/>
        </w:rPr>
        <w:tab/>
        <w:t>The full text of Chapter 60 of the Consolidated Laws of New York, including the NYS personal income, corporate franchise, estate, excise, sales and use and other NYS tax laws as amended through December 1</w:t>
      </w:r>
      <w:r w:rsidRPr="008C2E19">
        <w:rPr>
          <w:rFonts w:cs="Arial"/>
          <w:color w:val="000000"/>
          <w:vertAlign w:val="superscript"/>
        </w:rPr>
        <w:t>st</w:t>
      </w:r>
      <w:r w:rsidRPr="008C2E19">
        <w:rPr>
          <w:rFonts w:cs="Arial"/>
          <w:color w:val="000000"/>
        </w:rPr>
        <w:t xml:space="preserve"> of the previous calendar year;</w:t>
      </w:r>
    </w:p>
    <w:p w:rsidR="008C2E19" w:rsidRPr="008C2E19" w:rsidRDefault="008C2E19" w:rsidP="008C2E19">
      <w:pPr>
        <w:spacing w:line="240" w:lineRule="auto"/>
        <w:ind w:left="1440"/>
        <w:contextualSpacing/>
        <w:jc w:val="both"/>
        <w:rPr>
          <w:rFonts w:cs="Arial"/>
          <w:color w:val="000000"/>
        </w:rPr>
      </w:pPr>
    </w:p>
    <w:p w:rsidR="00EB37DE" w:rsidRDefault="008C2E19" w:rsidP="008C2E19">
      <w:pPr>
        <w:spacing w:line="240" w:lineRule="auto"/>
        <w:ind w:left="2880" w:hanging="720"/>
        <w:contextualSpacing/>
        <w:jc w:val="both"/>
        <w:rPr>
          <w:rFonts w:cs="Arial"/>
          <w:color w:val="000000"/>
        </w:rPr>
      </w:pPr>
      <w:r w:rsidRPr="008C2E19">
        <w:rPr>
          <w:rFonts w:cs="Arial"/>
          <w:color w:val="000000"/>
        </w:rPr>
        <w:t>•</w:t>
      </w:r>
      <w:r w:rsidRPr="008C2E19">
        <w:rPr>
          <w:rFonts w:cs="Arial"/>
          <w:color w:val="000000"/>
        </w:rPr>
        <w:tab/>
        <w:t>Portions of the Administrative Code of the City of New York</w:t>
      </w:r>
      <w:r w:rsidR="00EB37DE">
        <w:rPr>
          <w:rFonts w:cs="Arial"/>
          <w:color w:val="000000"/>
        </w:rPr>
        <w:t xml:space="preserve">. </w:t>
      </w:r>
      <w:r w:rsidRPr="008C2E19">
        <w:rPr>
          <w:rFonts w:cs="Arial"/>
          <w:color w:val="000000"/>
        </w:rPr>
        <w:t xml:space="preserve"> Specifically, the chapters covering City Personal Income Tax on Residents, City Unincorporated General Business Tax, City Business Taxes, Financial Corporation Tax, Real Property Transfer Tax, Mortgage Recording Tax and Sales Taxes;</w:t>
      </w:r>
    </w:p>
    <w:p w:rsidR="00EB37DE" w:rsidRPr="00FD1556" w:rsidRDefault="00FD1556" w:rsidP="00FC4471">
      <w:pPr>
        <w:pStyle w:val="ListParagraph"/>
        <w:numPr>
          <w:ilvl w:val="0"/>
          <w:numId w:val="16"/>
        </w:numPr>
        <w:spacing w:line="240" w:lineRule="auto"/>
        <w:ind w:left="3330" w:hanging="450"/>
        <w:jc w:val="both"/>
        <w:rPr>
          <w:rFonts w:cs="Arial"/>
          <w:color w:val="FF0000"/>
        </w:rPr>
      </w:pPr>
      <w:r w:rsidRPr="00FD1556">
        <w:rPr>
          <w:rFonts w:cs="Arial"/>
          <w:color w:val="FF0000"/>
        </w:rPr>
        <w:t>NYC Admin Code Title 11 Taxation and Finance Chapters 1, 5, 6, 7, 17, 20, 21, 25 and 26;</w:t>
      </w:r>
    </w:p>
    <w:p w:rsidR="00FD1556" w:rsidRPr="00FD1556" w:rsidRDefault="00FD1556" w:rsidP="00FC4471">
      <w:pPr>
        <w:pStyle w:val="ListParagraph"/>
        <w:numPr>
          <w:ilvl w:val="0"/>
          <w:numId w:val="16"/>
        </w:numPr>
        <w:spacing w:line="240" w:lineRule="auto"/>
        <w:ind w:left="3330" w:hanging="450"/>
        <w:jc w:val="both"/>
        <w:rPr>
          <w:rFonts w:cs="Arial"/>
          <w:color w:val="FF0000"/>
        </w:rPr>
      </w:pPr>
      <w:r w:rsidRPr="00FD1556">
        <w:rPr>
          <w:rFonts w:cs="Arial"/>
          <w:color w:val="FF0000"/>
        </w:rPr>
        <w:t>NYC Admin Code Title 20 Consumer Affairs Chapter 2;</w:t>
      </w:r>
    </w:p>
    <w:p w:rsidR="008C2E19" w:rsidRPr="008C2E19" w:rsidRDefault="008C2E19" w:rsidP="008C2E19">
      <w:pPr>
        <w:spacing w:line="240" w:lineRule="auto"/>
        <w:ind w:left="2880" w:hanging="720"/>
        <w:contextualSpacing/>
        <w:rPr>
          <w:rFonts w:cs="Arial"/>
          <w:color w:val="000000"/>
        </w:rPr>
      </w:pPr>
    </w:p>
    <w:p w:rsidR="008C2E19" w:rsidRPr="008C2E19" w:rsidRDefault="008C2E19" w:rsidP="008C2E19">
      <w:pPr>
        <w:spacing w:line="240" w:lineRule="auto"/>
        <w:ind w:left="2880" w:hanging="720"/>
        <w:contextualSpacing/>
        <w:rPr>
          <w:rFonts w:cs="Arial"/>
          <w:color w:val="000000"/>
        </w:rPr>
      </w:pPr>
      <w:r w:rsidRPr="008C2E19">
        <w:rPr>
          <w:rFonts w:cs="Arial"/>
          <w:color w:val="000000"/>
        </w:rPr>
        <w:t>•</w:t>
      </w:r>
      <w:r w:rsidRPr="008C2E19">
        <w:rPr>
          <w:rFonts w:cs="Arial"/>
          <w:color w:val="000000"/>
        </w:rPr>
        <w:tab/>
        <w:t>The Surrogate’s Court Procedure Act (Chapter 59-a of the Consolidated Laws of NY);</w:t>
      </w:r>
    </w:p>
    <w:p w:rsidR="008C2E19" w:rsidRPr="008C2E19" w:rsidRDefault="008C2E19" w:rsidP="008C2E19">
      <w:pPr>
        <w:spacing w:line="240" w:lineRule="auto"/>
        <w:ind w:left="2880" w:hanging="720"/>
        <w:contextualSpacing/>
        <w:rPr>
          <w:rFonts w:cs="Arial"/>
          <w:color w:val="000000"/>
        </w:rPr>
      </w:pPr>
    </w:p>
    <w:p w:rsidR="008C2E19" w:rsidRPr="008C2E19" w:rsidRDefault="008C2E19" w:rsidP="008C2E19">
      <w:pPr>
        <w:spacing w:line="240" w:lineRule="auto"/>
        <w:ind w:left="2880" w:hanging="720"/>
        <w:contextualSpacing/>
        <w:rPr>
          <w:rFonts w:cs="Arial"/>
          <w:color w:val="000000"/>
        </w:rPr>
      </w:pPr>
      <w:r w:rsidRPr="008C2E19">
        <w:rPr>
          <w:rFonts w:cs="Arial"/>
          <w:color w:val="000000"/>
        </w:rPr>
        <w:t>•</w:t>
      </w:r>
      <w:r w:rsidRPr="008C2E19">
        <w:rPr>
          <w:rFonts w:cs="Arial"/>
          <w:color w:val="000000"/>
        </w:rPr>
        <w:tab/>
        <w:t>A topical index of the law provisions; and</w:t>
      </w:r>
    </w:p>
    <w:p w:rsidR="008C2E19" w:rsidRPr="008C2E19" w:rsidRDefault="008C2E19" w:rsidP="008C2E19">
      <w:pPr>
        <w:spacing w:line="240" w:lineRule="auto"/>
        <w:ind w:left="1440"/>
        <w:contextualSpacing/>
        <w:rPr>
          <w:rFonts w:cs="Arial"/>
          <w:color w:val="000000"/>
        </w:rPr>
      </w:pPr>
    </w:p>
    <w:p w:rsidR="008C2E19" w:rsidRPr="008C2E19" w:rsidRDefault="008C2E19" w:rsidP="008C2E19">
      <w:pPr>
        <w:spacing w:line="240" w:lineRule="auto"/>
        <w:ind w:left="2880" w:hanging="720"/>
        <w:contextualSpacing/>
        <w:rPr>
          <w:rFonts w:cs="Arial"/>
          <w:color w:val="000000"/>
        </w:rPr>
      </w:pPr>
      <w:r w:rsidRPr="008C2E19">
        <w:rPr>
          <w:rFonts w:cs="Arial"/>
          <w:color w:val="000000"/>
        </w:rPr>
        <w:t>•</w:t>
      </w:r>
      <w:r w:rsidRPr="008C2E19">
        <w:rPr>
          <w:rFonts w:cs="Arial"/>
          <w:color w:val="000000"/>
        </w:rPr>
        <w:tab/>
        <w:t>A table of contents, or index, used as a quick reference to the Law Section, Title and Article and where it is located in the tax law handbook.</w:t>
      </w:r>
    </w:p>
    <w:p w:rsidR="008C2E19" w:rsidRPr="008C2E19" w:rsidRDefault="008C2E19" w:rsidP="008C2E19">
      <w:pPr>
        <w:spacing w:line="240" w:lineRule="auto"/>
        <w:contextualSpacing/>
        <w:rPr>
          <w:rFonts w:cs="Arial"/>
          <w:color w:val="000000"/>
        </w:rPr>
      </w:pPr>
    </w:p>
    <w:p w:rsidR="00FD1556" w:rsidRDefault="008C2E19" w:rsidP="00FD1556">
      <w:pPr>
        <w:spacing w:line="240" w:lineRule="auto"/>
        <w:ind w:left="2160" w:hanging="2160"/>
        <w:contextualSpacing/>
        <w:rPr>
          <w:b/>
        </w:rPr>
      </w:pPr>
      <w:r w:rsidRPr="008C2E19">
        <w:rPr>
          <w:rFonts w:cs="Arial"/>
          <w:color w:val="000000"/>
        </w:rPr>
        <w:tab/>
      </w:r>
      <w:r w:rsidRPr="008C2E19">
        <w:rPr>
          <w:b/>
        </w:rPr>
        <w:t>PLEASE NOTE: This tax law handbook must NOT contain any Technical Services Bureau Memoranda (TSBMs).</w:t>
      </w:r>
      <w:r w:rsidR="00FD1556">
        <w:rPr>
          <w:b/>
        </w:rPr>
        <w:tab/>
      </w:r>
      <w:r w:rsidR="00FD1556">
        <w:rPr>
          <w:b/>
        </w:rPr>
        <w:tab/>
      </w:r>
      <w:r w:rsidR="00FD1556">
        <w:rPr>
          <w:b/>
        </w:rPr>
        <w:tab/>
      </w:r>
      <w:r w:rsidR="00FD1556">
        <w:rPr>
          <w:b/>
        </w:rPr>
        <w:tab/>
      </w:r>
      <w:r w:rsidR="00FD1556">
        <w:rPr>
          <w:b/>
        </w:rPr>
        <w:tab/>
      </w:r>
    </w:p>
    <w:p w:rsidR="004C0433" w:rsidRPr="00FD1556" w:rsidRDefault="00FD1556" w:rsidP="00FD1556">
      <w:pPr>
        <w:spacing w:line="240" w:lineRule="auto"/>
        <w:ind w:left="2160" w:hanging="2160"/>
        <w:contextualSpacing/>
        <w:rPr>
          <w:b/>
        </w:rPr>
      </w:pPr>
      <w:r>
        <w:rPr>
          <w:b/>
        </w:rPr>
        <w:tab/>
      </w:r>
      <w:r>
        <w:rPr>
          <w:b/>
        </w:rPr>
        <w:tab/>
      </w:r>
      <w:r>
        <w:rPr>
          <w:b/>
        </w:rPr>
        <w:tab/>
      </w:r>
      <w:r>
        <w:rPr>
          <w:b/>
        </w:rPr>
        <w:tab/>
      </w:r>
      <w:r>
        <w:rPr>
          <w:b/>
        </w:rPr>
        <w:tab/>
      </w:r>
      <w:r>
        <w:rPr>
          <w:b/>
        </w:rPr>
        <w:tab/>
      </w:r>
      <w:r>
        <w:rPr>
          <w:b/>
        </w:rPr>
        <w:tab/>
      </w:r>
      <w:r>
        <w:rPr>
          <w:b/>
        </w:rPr>
        <w:tab/>
      </w:r>
      <w:r>
        <w:rPr>
          <w:b/>
        </w:rPr>
        <w:tab/>
      </w:r>
      <w:r w:rsidR="008C2E19" w:rsidRPr="008C2E19">
        <w:t xml:space="preserve">Page </w:t>
      </w:r>
      <w:r w:rsidR="00EB37DE">
        <w:rPr>
          <w:b/>
          <w:sz w:val="24"/>
          <w:szCs w:val="24"/>
        </w:rPr>
        <w:t>13</w:t>
      </w:r>
      <w:r w:rsidR="008C2E19" w:rsidRPr="008C2E19">
        <w:t xml:space="preserve"> of </w:t>
      </w:r>
      <w:r w:rsidR="00EB37DE">
        <w:rPr>
          <w:b/>
          <w:sz w:val="24"/>
          <w:szCs w:val="24"/>
        </w:rPr>
        <w:t>95</w:t>
      </w:r>
    </w:p>
    <w:p w:rsidR="008C2E19" w:rsidRPr="008C2E19" w:rsidRDefault="008C2E19" w:rsidP="008C2E19">
      <w:pPr>
        <w:numPr>
          <w:ilvl w:val="0"/>
          <w:numId w:val="8"/>
        </w:numPr>
        <w:spacing w:line="240" w:lineRule="auto"/>
        <w:contextualSpacing/>
        <w:rPr>
          <w:rFonts w:cs="Arial"/>
          <w:color w:val="000000"/>
        </w:rPr>
      </w:pPr>
      <w:r w:rsidRPr="008C2E19">
        <w:rPr>
          <w:rFonts w:cs="Arial"/>
          <w:color w:val="000000"/>
          <w:u w:val="single"/>
        </w:rPr>
        <w:lastRenderedPageBreak/>
        <w:t>NYS Corporation Tax Law and Regulations</w:t>
      </w:r>
    </w:p>
    <w:p w:rsidR="008C2E19" w:rsidRPr="008C2E19" w:rsidRDefault="008C2E19" w:rsidP="008C2E19">
      <w:pPr>
        <w:spacing w:line="240" w:lineRule="auto"/>
        <w:ind w:left="1440"/>
        <w:contextualSpacing/>
        <w:rPr>
          <w:rFonts w:cs="Arial"/>
          <w:color w:val="000000"/>
        </w:rPr>
      </w:pPr>
    </w:p>
    <w:p w:rsidR="008C2E19" w:rsidRPr="008C2E19" w:rsidRDefault="008C2E19" w:rsidP="008C2E19">
      <w:pPr>
        <w:spacing w:line="240" w:lineRule="auto"/>
        <w:ind w:left="2160"/>
        <w:contextualSpacing/>
        <w:rPr>
          <w:rFonts w:cs="Arial"/>
          <w:color w:val="000000"/>
        </w:rPr>
      </w:pPr>
      <w:r w:rsidRPr="008C2E19">
        <w:rPr>
          <w:rFonts w:cs="Arial"/>
          <w:color w:val="000000"/>
        </w:rPr>
        <w:t>A comprehensive annual reference handbook that must contain:</w:t>
      </w:r>
    </w:p>
    <w:p w:rsidR="008C2E19" w:rsidRPr="008C2E19" w:rsidRDefault="008C2E19" w:rsidP="008C2E19">
      <w:pPr>
        <w:spacing w:line="240" w:lineRule="auto"/>
        <w:ind w:left="1440"/>
        <w:contextualSpacing/>
        <w:rPr>
          <w:rFonts w:cs="Arial"/>
          <w:color w:val="000000"/>
        </w:rPr>
      </w:pPr>
    </w:p>
    <w:p w:rsidR="008C2E19" w:rsidRPr="008C2E19" w:rsidRDefault="008C2E19" w:rsidP="008C2E19">
      <w:pPr>
        <w:spacing w:line="240" w:lineRule="auto"/>
        <w:ind w:left="2880" w:hanging="720"/>
        <w:contextualSpacing/>
        <w:rPr>
          <w:rFonts w:cs="Arial"/>
          <w:color w:val="000000"/>
        </w:rPr>
      </w:pPr>
      <w:r w:rsidRPr="008C2E19">
        <w:rPr>
          <w:rFonts w:cs="Arial"/>
          <w:color w:val="000000"/>
        </w:rPr>
        <w:t>•</w:t>
      </w:r>
      <w:r w:rsidRPr="008C2E19">
        <w:rPr>
          <w:rFonts w:cs="Arial"/>
          <w:color w:val="000000"/>
        </w:rPr>
        <w:tab/>
        <w:t>The full text of the NYS tax laws concerning NYS corporate franchise taxes as amended through December 1</w:t>
      </w:r>
      <w:r w:rsidRPr="008C2E19">
        <w:rPr>
          <w:rFonts w:cs="Arial"/>
          <w:color w:val="000000"/>
          <w:vertAlign w:val="superscript"/>
        </w:rPr>
        <w:t>st</w:t>
      </w:r>
      <w:r w:rsidRPr="008C2E19">
        <w:rPr>
          <w:rFonts w:cs="Arial"/>
          <w:color w:val="000000"/>
        </w:rPr>
        <w:t xml:space="preserve"> of the previous calendar year.  This must include: Articles 1, 8, 9, 9-A, 13, 23, 27, 32, 33, 36 and 41 </w:t>
      </w:r>
      <w:r w:rsidRPr="008C2E19">
        <w:t xml:space="preserve">of Chapter 60 </w:t>
      </w:r>
      <w:r w:rsidRPr="008C2E19">
        <w:rPr>
          <w:rFonts w:cs="Arial"/>
          <w:color w:val="000000"/>
        </w:rPr>
        <w:t>of th</w:t>
      </w:r>
      <w:r w:rsidR="00FD1556">
        <w:rPr>
          <w:rFonts w:cs="Arial"/>
          <w:color w:val="000000"/>
        </w:rPr>
        <w:t>e Consolidated Laws of New York;</w:t>
      </w:r>
    </w:p>
    <w:p w:rsidR="008C2E19" w:rsidRPr="008C2E19" w:rsidRDefault="008C2E19" w:rsidP="008C2E19">
      <w:pPr>
        <w:spacing w:line="240" w:lineRule="auto"/>
        <w:ind w:left="1440"/>
        <w:contextualSpacing/>
        <w:rPr>
          <w:rFonts w:cs="Arial"/>
          <w:color w:val="000000"/>
        </w:rPr>
      </w:pPr>
    </w:p>
    <w:p w:rsidR="008C2E19" w:rsidRDefault="008C2E19" w:rsidP="008C2E19">
      <w:pPr>
        <w:spacing w:line="240" w:lineRule="auto"/>
        <w:ind w:left="2880" w:hanging="720"/>
        <w:contextualSpacing/>
        <w:jc w:val="both"/>
        <w:rPr>
          <w:rFonts w:cs="Arial"/>
          <w:color w:val="000000"/>
        </w:rPr>
      </w:pPr>
      <w:r w:rsidRPr="008C2E19">
        <w:rPr>
          <w:rFonts w:cs="Arial"/>
          <w:color w:val="000000"/>
        </w:rPr>
        <w:t>•</w:t>
      </w:r>
      <w:r w:rsidRPr="008C2E19">
        <w:rPr>
          <w:rFonts w:cs="Arial"/>
          <w:color w:val="000000"/>
        </w:rPr>
        <w:tab/>
        <w:t>All regulations promulgated by the NYS Department of Taxation and Finance with respect t</w:t>
      </w:r>
      <w:r w:rsidR="00FD1556">
        <w:rPr>
          <w:rFonts w:cs="Arial"/>
          <w:color w:val="000000"/>
        </w:rPr>
        <w:t>o NYS corporate franchise taxes;</w:t>
      </w:r>
    </w:p>
    <w:p w:rsidR="00FD1556" w:rsidRPr="00FD1556" w:rsidRDefault="00FD1556" w:rsidP="00FC4471">
      <w:pPr>
        <w:pStyle w:val="ListParagraph"/>
        <w:numPr>
          <w:ilvl w:val="0"/>
          <w:numId w:val="15"/>
        </w:numPr>
        <w:spacing w:line="240" w:lineRule="auto"/>
        <w:ind w:left="3240"/>
        <w:jc w:val="both"/>
        <w:rPr>
          <w:rFonts w:cs="Arial"/>
          <w:color w:val="FF0000"/>
        </w:rPr>
      </w:pPr>
      <w:r w:rsidRPr="00FD1556">
        <w:rPr>
          <w:rFonts w:cs="Arial"/>
          <w:color w:val="FF0000"/>
        </w:rPr>
        <w:t>Title 20 NYCRR Chapter 1 Franchise and Certain Business Taxes;</w:t>
      </w:r>
    </w:p>
    <w:p w:rsidR="008C2E19" w:rsidRPr="00FD1556" w:rsidRDefault="00FD1556" w:rsidP="00FC4471">
      <w:pPr>
        <w:pStyle w:val="ListParagraph"/>
        <w:numPr>
          <w:ilvl w:val="0"/>
          <w:numId w:val="15"/>
        </w:numPr>
        <w:spacing w:line="240" w:lineRule="auto"/>
        <w:ind w:left="3240"/>
        <w:jc w:val="both"/>
        <w:rPr>
          <w:rFonts w:cs="Arial"/>
          <w:color w:val="FF0000"/>
        </w:rPr>
      </w:pPr>
      <w:r w:rsidRPr="00FD1556">
        <w:rPr>
          <w:rFonts w:cs="Arial"/>
          <w:color w:val="FF0000"/>
        </w:rPr>
        <w:t>Title 20 NYCRR Chapter IX Procedural Regulations Parts 2500.1 through 2500.7;</w:t>
      </w:r>
    </w:p>
    <w:p w:rsidR="008C2E19" w:rsidRPr="008C2E19" w:rsidRDefault="008C2E19" w:rsidP="008C2E19">
      <w:pPr>
        <w:numPr>
          <w:ilvl w:val="0"/>
          <w:numId w:val="9"/>
        </w:numPr>
        <w:spacing w:line="240" w:lineRule="auto"/>
        <w:ind w:left="2880" w:hanging="720"/>
        <w:contextualSpacing/>
        <w:rPr>
          <w:rFonts w:cs="Arial"/>
          <w:color w:val="000000"/>
        </w:rPr>
      </w:pPr>
      <w:r w:rsidRPr="008C2E19">
        <w:rPr>
          <w:rFonts w:cs="Arial"/>
          <w:color w:val="000000"/>
        </w:rPr>
        <w:t>A topical index of the provisions; and</w:t>
      </w:r>
    </w:p>
    <w:p w:rsidR="008C2E19" w:rsidRPr="008C2E19" w:rsidRDefault="008C2E19" w:rsidP="008C2E19">
      <w:pPr>
        <w:spacing w:line="240" w:lineRule="auto"/>
        <w:ind w:left="1440"/>
        <w:contextualSpacing/>
        <w:rPr>
          <w:rFonts w:cs="Arial"/>
          <w:color w:val="000000"/>
        </w:rPr>
      </w:pPr>
    </w:p>
    <w:p w:rsidR="008C2E19" w:rsidRPr="008C2E19" w:rsidRDefault="008C2E19" w:rsidP="008C2E19">
      <w:pPr>
        <w:spacing w:line="240" w:lineRule="auto"/>
        <w:ind w:left="2880" w:hanging="720"/>
        <w:contextualSpacing/>
        <w:rPr>
          <w:rFonts w:cs="Arial"/>
          <w:color w:val="000000"/>
        </w:rPr>
      </w:pPr>
      <w:r w:rsidRPr="008C2E19">
        <w:rPr>
          <w:rFonts w:cs="Arial"/>
          <w:color w:val="000000"/>
        </w:rPr>
        <w:t>•</w:t>
      </w:r>
      <w:r w:rsidRPr="008C2E19">
        <w:rPr>
          <w:rFonts w:cs="Arial"/>
          <w:color w:val="000000"/>
        </w:rPr>
        <w:tab/>
        <w:t>A table of contents, or index, used as a quick reference to the Law Section, Title and Article and where it is located in the tax law handbook.</w:t>
      </w:r>
    </w:p>
    <w:p w:rsidR="008C2E19" w:rsidRPr="008C2E19" w:rsidRDefault="008C2E19" w:rsidP="008C2E19">
      <w:pPr>
        <w:spacing w:line="240" w:lineRule="auto"/>
        <w:ind w:left="2880" w:hanging="720"/>
        <w:contextualSpacing/>
        <w:rPr>
          <w:rFonts w:cs="Arial"/>
          <w:color w:val="000000"/>
        </w:rPr>
      </w:pPr>
    </w:p>
    <w:p w:rsidR="008C2E19" w:rsidRPr="008C2E19" w:rsidRDefault="008C2E19" w:rsidP="008C2E19">
      <w:pPr>
        <w:spacing w:line="240" w:lineRule="auto"/>
        <w:ind w:left="2160"/>
        <w:contextualSpacing/>
        <w:jc w:val="both"/>
        <w:rPr>
          <w:rFonts w:cs="Arial"/>
          <w:b/>
          <w:color w:val="000000"/>
        </w:rPr>
      </w:pPr>
      <w:r w:rsidRPr="008C2E19">
        <w:rPr>
          <w:rFonts w:cs="Arial"/>
          <w:b/>
          <w:color w:val="000000"/>
        </w:rPr>
        <w:t xml:space="preserve">PLEASE NOTE:  </w:t>
      </w:r>
      <w:r w:rsidRPr="008C2E19">
        <w:rPr>
          <w:b/>
        </w:rPr>
        <w:t>This tax law handbook must NOT contain any Technical Services Bureau Memoranda (TSBMs).</w:t>
      </w:r>
      <w:r w:rsidRPr="008C2E19">
        <w:rPr>
          <w:rFonts w:cs="Arial"/>
          <w:b/>
          <w:color w:val="000000"/>
        </w:rPr>
        <w:t xml:space="preserve"> </w:t>
      </w:r>
    </w:p>
    <w:p w:rsidR="008C2E19" w:rsidRPr="008C2E19" w:rsidRDefault="008C2E19" w:rsidP="008C2E19">
      <w:pPr>
        <w:spacing w:line="240" w:lineRule="auto"/>
        <w:ind w:left="2880" w:hanging="720"/>
        <w:contextualSpacing/>
        <w:rPr>
          <w:rFonts w:cs="Arial"/>
          <w:color w:val="000000"/>
        </w:rPr>
      </w:pPr>
    </w:p>
    <w:p w:rsidR="008C2E19" w:rsidRPr="008C2E19" w:rsidRDefault="008C2E19" w:rsidP="008C2E19">
      <w:pPr>
        <w:numPr>
          <w:ilvl w:val="0"/>
          <w:numId w:val="8"/>
        </w:numPr>
        <w:tabs>
          <w:tab w:val="left" w:pos="547"/>
          <w:tab w:val="left" w:pos="1080"/>
          <w:tab w:val="left" w:pos="1627"/>
          <w:tab w:val="left" w:pos="2160"/>
          <w:tab w:val="left" w:pos="2707"/>
          <w:tab w:val="left" w:pos="3240"/>
          <w:tab w:val="left" w:pos="3787"/>
          <w:tab w:val="left" w:pos="4320"/>
        </w:tabs>
        <w:spacing w:line="240" w:lineRule="exact"/>
        <w:ind w:right="18"/>
        <w:jc w:val="both"/>
        <w:rPr>
          <w:u w:val="single"/>
        </w:rPr>
      </w:pPr>
      <w:r w:rsidRPr="008C2E19">
        <w:rPr>
          <w:rFonts w:cs="Arial"/>
          <w:color w:val="000000"/>
        </w:rPr>
        <w:tab/>
      </w:r>
      <w:r w:rsidRPr="008C2E19">
        <w:rPr>
          <w:u w:val="single"/>
        </w:rPr>
        <w:t>NYS Personal Income Tax Law and Regulations</w:t>
      </w:r>
    </w:p>
    <w:p w:rsidR="008C2E19" w:rsidRPr="008C2E19" w:rsidRDefault="008C2E19" w:rsidP="008C2E19">
      <w:pPr>
        <w:tabs>
          <w:tab w:val="left" w:pos="547"/>
          <w:tab w:val="left" w:pos="1080"/>
          <w:tab w:val="left" w:pos="1627"/>
          <w:tab w:val="left" w:pos="2160"/>
          <w:tab w:val="left" w:pos="2707"/>
          <w:tab w:val="left" w:pos="3240"/>
          <w:tab w:val="left" w:pos="3787"/>
          <w:tab w:val="left" w:pos="4320"/>
        </w:tabs>
        <w:spacing w:line="240" w:lineRule="exact"/>
        <w:ind w:left="2160" w:right="18"/>
        <w:jc w:val="both"/>
      </w:pPr>
      <w:r w:rsidRPr="008C2E19">
        <w:t>A comprehensive annual reference handbook that must contain:</w:t>
      </w:r>
    </w:p>
    <w:p w:rsidR="008C2E19" w:rsidRPr="008C2E19" w:rsidRDefault="008C2E19" w:rsidP="008C2E19">
      <w:pPr>
        <w:numPr>
          <w:ilvl w:val="0"/>
          <w:numId w:val="6"/>
        </w:numPr>
        <w:tabs>
          <w:tab w:val="left" w:pos="547"/>
          <w:tab w:val="left" w:pos="1080"/>
          <w:tab w:val="left" w:pos="2160"/>
          <w:tab w:val="left" w:pos="2707"/>
          <w:tab w:val="left" w:pos="3240"/>
          <w:tab w:val="left" w:pos="3787"/>
          <w:tab w:val="left" w:pos="4320"/>
        </w:tabs>
        <w:spacing w:after="0" w:line="240" w:lineRule="exact"/>
        <w:ind w:left="2700" w:right="18" w:hanging="540"/>
        <w:jc w:val="both"/>
      </w:pPr>
      <w:r w:rsidRPr="008C2E19">
        <w:t>The full text of the NYS tax laws concerning personal income taxes as amended through December 1</w:t>
      </w:r>
      <w:r w:rsidRPr="008C2E19">
        <w:rPr>
          <w:vertAlign w:val="superscript"/>
        </w:rPr>
        <w:t>st</w:t>
      </w:r>
      <w:r w:rsidRPr="008C2E19">
        <w:t xml:space="preserve"> of the previous calendar year.  This must include:</w:t>
      </w:r>
    </w:p>
    <w:p w:rsidR="008C2E19" w:rsidRPr="008C2E19" w:rsidRDefault="008C2E19" w:rsidP="008C2E19">
      <w:pPr>
        <w:tabs>
          <w:tab w:val="left" w:pos="547"/>
          <w:tab w:val="left" w:pos="1080"/>
          <w:tab w:val="left" w:pos="1627"/>
          <w:tab w:val="left" w:pos="2160"/>
          <w:tab w:val="left" w:pos="2707"/>
          <w:tab w:val="left" w:pos="3240"/>
          <w:tab w:val="left" w:pos="3787"/>
          <w:tab w:val="left" w:pos="4320"/>
        </w:tabs>
        <w:spacing w:after="0" w:line="240" w:lineRule="exact"/>
        <w:ind w:left="1620" w:right="18"/>
        <w:jc w:val="both"/>
      </w:pPr>
    </w:p>
    <w:p w:rsidR="008C2E19" w:rsidRPr="008C2E19" w:rsidRDefault="008C2E19" w:rsidP="008C2E19">
      <w:pPr>
        <w:numPr>
          <w:ilvl w:val="1"/>
          <w:numId w:val="6"/>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pPr>
      <w:r w:rsidRPr="008C2E19">
        <w:t xml:space="preserve">Articles 1, 8, 9-A, 22, 23, 30, 30-A, 30-B, 36, 40 and 41 of Chapter 60 </w:t>
      </w:r>
      <w:r w:rsidRPr="008C2E19">
        <w:rPr>
          <w:rFonts w:cs="Arial"/>
          <w:color w:val="000000"/>
        </w:rPr>
        <w:t>of the Consolidated Laws of New York</w:t>
      </w:r>
      <w:r w:rsidRPr="008C2E19">
        <w:t>; and</w:t>
      </w:r>
    </w:p>
    <w:p w:rsidR="008C2E19" w:rsidRPr="008C2E19" w:rsidRDefault="008C2E19" w:rsidP="008C2E19">
      <w:pPr>
        <w:numPr>
          <w:ilvl w:val="1"/>
          <w:numId w:val="6"/>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pPr>
      <w:r w:rsidRPr="008C2E19">
        <w:t>New York City Administrative Code Title 11, Chapter 5 and 17;</w:t>
      </w:r>
    </w:p>
    <w:p w:rsidR="008C2E19" w:rsidRPr="008C2E19" w:rsidRDefault="008C2E19" w:rsidP="008C2E19">
      <w:pPr>
        <w:spacing w:after="0" w:line="240" w:lineRule="auto"/>
        <w:ind w:left="2700"/>
        <w:jc w:val="both"/>
      </w:pPr>
    </w:p>
    <w:p w:rsidR="00FC4471" w:rsidRDefault="008C2E19" w:rsidP="00FC4471">
      <w:pPr>
        <w:numPr>
          <w:ilvl w:val="0"/>
          <w:numId w:val="5"/>
        </w:numPr>
        <w:spacing w:line="240" w:lineRule="auto"/>
        <w:ind w:left="2700" w:hanging="540"/>
        <w:contextualSpacing/>
        <w:jc w:val="both"/>
        <w:rPr>
          <w:rFonts w:cs="Arial"/>
          <w:color w:val="000000"/>
        </w:rPr>
      </w:pPr>
      <w:r w:rsidRPr="008C2E19">
        <w:rPr>
          <w:rFonts w:cs="Arial"/>
          <w:color w:val="000000"/>
        </w:rPr>
        <w:t>All regulations promulgated by the NYS Department of Taxation and Finance with respect to NYS personal income taxes and all rules promulgated by the New York City Department of Finance with respect to personal income taxes;</w:t>
      </w:r>
    </w:p>
    <w:p w:rsidR="00FC4471" w:rsidRDefault="009D7EFF" w:rsidP="009D7EFF">
      <w:pPr>
        <w:numPr>
          <w:ilvl w:val="1"/>
          <w:numId w:val="5"/>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rPr>
          <w:color w:val="FF0000"/>
        </w:rPr>
      </w:pPr>
      <w:r>
        <w:rPr>
          <w:color w:val="FF0000"/>
        </w:rPr>
        <w:t>Title 20 NYCRR Chapter I  Franchise and Certain Business Taxes Parts 1-8, and Parts 36-39;</w:t>
      </w:r>
    </w:p>
    <w:p w:rsidR="009D7EFF" w:rsidRDefault="009D7EFF" w:rsidP="009D7EFF">
      <w:pPr>
        <w:numPr>
          <w:ilvl w:val="1"/>
          <w:numId w:val="5"/>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rPr>
          <w:color w:val="FF0000"/>
        </w:rPr>
      </w:pPr>
      <w:r>
        <w:rPr>
          <w:color w:val="FF0000"/>
        </w:rPr>
        <w:t>Title 20 NYCRR Chapter II Income Taxes and Estate Taxes subchapters A, C, D, E, and F;</w:t>
      </w:r>
    </w:p>
    <w:p w:rsidR="009D7EFF" w:rsidRDefault="009D7EFF" w:rsidP="009D7EFF">
      <w:pPr>
        <w:numPr>
          <w:ilvl w:val="1"/>
          <w:numId w:val="5"/>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rPr>
          <w:color w:val="FF0000"/>
        </w:rPr>
      </w:pPr>
      <w:r>
        <w:rPr>
          <w:color w:val="FF0000"/>
        </w:rPr>
        <w:t xml:space="preserve">Title 20 NYCRR Chapter V Public Access to Records, Chapter VI Communications of the Division of Taxation and Finance, Chapter XI Tax Appeals Tribunal, Chapter XII Bureau of Conciliation and Mediation Services, and Chapter XIII Compromises; </w:t>
      </w:r>
    </w:p>
    <w:p w:rsidR="009D7EFF" w:rsidRDefault="009D7EFF" w:rsidP="009D7EFF">
      <w:pPr>
        <w:numPr>
          <w:ilvl w:val="1"/>
          <w:numId w:val="5"/>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rPr>
          <w:color w:val="FF0000"/>
        </w:rPr>
      </w:pPr>
      <w:r>
        <w:rPr>
          <w:color w:val="FF0000"/>
        </w:rPr>
        <w:t>NYC Department of Finance Rules &amp; Regulations Title 19 Department of Finance Chapter 28 and 29;</w:t>
      </w:r>
    </w:p>
    <w:p w:rsidR="009D7EFF" w:rsidRPr="009D7EFF" w:rsidRDefault="009D7EFF" w:rsidP="009D7EFF">
      <w:pPr>
        <w:tabs>
          <w:tab w:val="left" w:pos="547"/>
          <w:tab w:val="left" w:pos="1080"/>
          <w:tab w:val="left" w:pos="1627"/>
          <w:tab w:val="left" w:pos="2160"/>
          <w:tab w:val="left" w:pos="2707"/>
          <w:tab w:val="left" w:pos="3240"/>
          <w:tab w:val="left" w:pos="3787"/>
          <w:tab w:val="left" w:pos="4320"/>
        </w:tabs>
        <w:spacing w:after="0" w:line="240" w:lineRule="exact"/>
        <w:ind w:left="3240" w:right="18"/>
        <w:jc w:val="both"/>
        <w:rPr>
          <w:color w:val="FF0000"/>
        </w:rPr>
      </w:pPr>
    </w:p>
    <w:p w:rsidR="008C2E19" w:rsidRPr="008C2E19" w:rsidRDefault="009D7EFF" w:rsidP="009D7EFF">
      <w:pPr>
        <w:tabs>
          <w:tab w:val="center" w:pos="4680"/>
          <w:tab w:val="right" w:pos="9360"/>
        </w:tabs>
        <w:jc w:val="right"/>
      </w:pPr>
      <w:r w:rsidRPr="008C2E19">
        <w:t xml:space="preserve">Page </w:t>
      </w:r>
      <w:r w:rsidRPr="00693BAF">
        <w:rPr>
          <w:b/>
        </w:rPr>
        <w:t>14</w:t>
      </w:r>
      <w:r w:rsidRPr="008C2E19">
        <w:t xml:space="preserve"> of </w:t>
      </w:r>
      <w:r>
        <w:rPr>
          <w:b/>
          <w:sz w:val="24"/>
          <w:szCs w:val="24"/>
        </w:rPr>
        <w:t>95</w:t>
      </w:r>
    </w:p>
    <w:p w:rsidR="008C2E19" w:rsidRPr="008C2E19" w:rsidRDefault="008C2E19" w:rsidP="00FC4471">
      <w:pPr>
        <w:numPr>
          <w:ilvl w:val="0"/>
          <w:numId w:val="5"/>
        </w:numPr>
        <w:spacing w:after="0" w:line="240" w:lineRule="auto"/>
        <w:ind w:left="2700" w:hanging="540"/>
        <w:jc w:val="both"/>
      </w:pPr>
      <w:r w:rsidRPr="008C2E19">
        <w:lastRenderedPageBreak/>
        <w:t>A topical index of the law provisions; and</w:t>
      </w:r>
    </w:p>
    <w:p w:rsidR="008C2E19" w:rsidRPr="008C2E19" w:rsidRDefault="008C2E19" w:rsidP="008C2E19">
      <w:pPr>
        <w:spacing w:after="0" w:line="240" w:lineRule="auto"/>
        <w:ind w:left="2700"/>
        <w:jc w:val="both"/>
      </w:pPr>
    </w:p>
    <w:p w:rsidR="008C2E19" w:rsidRPr="008C2E19" w:rsidRDefault="008C2E19" w:rsidP="00FC4471">
      <w:pPr>
        <w:numPr>
          <w:ilvl w:val="0"/>
          <w:numId w:val="5"/>
        </w:numPr>
        <w:spacing w:after="0" w:line="240" w:lineRule="auto"/>
        <w:ind w:left="2700" w:hanging="540"/>
        <w:jc w:val="both"/>
      </w:pPr>
      <w:r w:rsidRPr="008C2E19">
        <w:t>A table of contents, or index, used as a quick reference to the Law Section, Title and Article and where it is located in the tax law handbook.</w:t>
      </w:r>
    </w:p>
    <w:p w:rsidR="008C2E19" w:rsidRPr="008C2E19" w:rsidRDefault="008C2E19" w:rsidP="008C2E19">
      <w:pPr>
        <w:spacing w:before="240" w:after="0" w:line="240" w:lineRule="auto"/>
        <w:ind w:left="2250"/>
        <w:jc w:val="both"/>
      </w:pPr>
      <w:r w:rsidRPr="008C2E19">
        <w:rPr>
          <w:b/>
        </w:rPr>
        <w:t>PLEASE NOTE: This tax law handbook must NOT contain any Technical Services Bureau Memoranda (TSBMs).</w:t>
      </w:r>
    </w:p>
    <w:p w:rsidR="008C2E19" w:rsidRPr="008C2E19" w:rsidRDefault="008C2E19" w:rsidP="008C2E19">
      <w:pPr>
        <w:spacing w:line="240" w:lineRule="auto"/>
        <w:ind w:left="2700"/>
        <w:contextualSpacing/>
        <w:rPr>
          <w:rFonts w:cs="Arial"/>
          <w:color w:val="000000"/>
        </w:rPr>
      </w:pPr>
    </w:p>
    <w:p w:rsidR="008C2E19" w:rsidRPr="008C2E19" w:rsidRDefault="008C2E19" w:rsidP="008C2E19">
      <w:pPr>
        <w:numPr>
          <w:ilvl w:val="0"/>
          <w:numId w:val="8"/>
        </w:numPr>
        <w:tabs>
          <w:tab w:val="left" w:pos="547"/>
          <w:tab w:val="left" w:pos="1080"/>
          <w:tab w:val="left" w:pos="1627"/>
          <w:tab w:val="left" w:pos="2160"/>
          <w:tab w:val="left" w:pos="3240"/>
          <w:tab w:val="left" w:pos="3787"/>
          <w:tab w:val="left" w:pos="4320"/>
        </w:tabs>
        <w:spacing w:line="240" w:lineRule="exact"/>
        <w:ind w:left="2160" w:right="18" w:hanging="270"/>
        <w:jc w:val="both"/>
        <w:rPr>
          <w:u w:val="single"/>
        </w:rPr>
      </w:pPr>
      <w:r w:rsidRPr="008C2E19">
        <w:t xml:space="preserve"> </w:t>
      </w:r>
      <w:r w:rsidRPr="008C2E19">
        <w:rPr>
          <w:u w:val="single"/>
        </w:rPr>
        <w:t>NYS Sales and Use Tax Law and Regulations</w:t>
      </w:r>
    </w:p>
    <w:p w:rsidR="00693BAF" w:rsidRDefault="008C2E19" w:rsidP="00693BAF">
      <w:pPr>
        <w:tabs>
          <w:tab w:val="center" w:pos="4680"/>
          <w:tab w:val="right" w:pos="9360"/>
        </w:tabs>
        <w:ind w:left="2160"/>
      </w:pPr>
      <w:r w:rsidRPr="008C2E19">
        <w:t>A comprehensive annual reference handbook that must contain:</w:t>
      </w:r>
      <w:r w:rsidR="00693BAF" w:rsidRPr="00693BAF">
        <w:t xml:space="preserve"> </w:t>
      </w:r>
    </w:p>
    <w:p w:rsidR="008C2E19" w:rsidRPr="008C2E19" w:rsidRDefault="008C2E19" w:rsidP="008C2E19">
      <w:pPr>
        <w:numPr>
          <w:ilvl w:val="0"/>
          <w:numId w:val="7"/>
        </w:numPr>
        <w:tabs>
          <w:tab w:val="left" w:pos="547"/>
          <w:tab w:val="left" w:pos="1080"/>
          <w:tab w:val="left" w:pos="2160"/>
          <w:tab w:val="left" w:pos="2707"/>
          <w:tab w:val="left" w:pos="3240"/>
          <w:tab w:val="left" w:pos="3787"/>
          <w:tab w:val="left" w:pos="4320"/>
        </w:tabs>
        <w:spacing w:after="0" w:line="240" w:lineRule="exact"/>
        <w:ind w:left="2700" w:right="18" w:hanging="540"/>
        <w:jc w:val="both"/>
      </w:pPr>
      <w:r w:rsidRPr="008C2E19">
        <w:t>The full text of the NYS and NYC laws concerning sales and use taxes as amended through December 1</w:t>
      </w:r>
      <w:r w:rsidRPr="008C2E19">
        <w:rPr>
          <w:vertAlign w:val="superscript"/>
        </w:rPr>
        <w:t>st</w:t>
      </w:r>
      <w:r w:rsidRPr="008C2E19">
        <w:t xml:space="preserve"> of the previous calendar year.  This must include:</w:t>
      </w:r>
    </w:p>
    <w:p w:rsidR="008C2E19" w:rsidRPr="008C2E19" w:rsidRDefault="008C2E19" w:rsidP="008C2E19">
      <w:pPr>
        <w:numPr>
          <w:ilvl w:val="1"/>
          <w:numId w:val="7"/>
        </w:numPr>
        <w:spacing w:after="0" w:line="240" w:lineRule="exact"/>
        <w:ind w:left="3240" w:right="18"/>
        <w:jc w:val="both"/>
      </w:pPr>
      <w:r w:rsidRPr="008C2E19">
        <w:t xml:space="preserve">Articles 1, 8, 28, 28-A, 28-B, 29, 29-A, 36, 37, 40 and 41 of Chapter 60 </w:t>
      </w:r>
      <w:r w:rsidRPr="008C2E19">
        <w:rPr>
          <w:rFonts w:cs="Arial"/>
          <w:color w:val="000000"/>
        </w:rPr>
        <w:t>of the Consolidated Laws of New York</w:t>
      </w:r>
      <w:r w:rsidRPr="008C2E19">
        <w:t>; and</w:t>
      </w:r>
    </w:p>
    <w:p w:rsidR="008C2E19" w:rsidRPr="008C2E19" w:rsidRDefault="008C2E19" w:rsidP="008C2E19">
      <w:pPr>
        <w:numPr>
          <w:ilvl w:val="1"/>
          <w:numId w:val="7"/>
        </w:numPr>
        <w:spacing w:after="0" w:line="240" w:lineRule="exact"/>
        <w:ind w:left="3240" w:right="18"/>
        <w:jc w:val="both"/>
      </w:pPr>
      <w:r w:rsidRPr="008C2E19">
        <w:t>New York City Administrative Code Title 11, Chapters 1 and 20;</w:t>
      </w:r>
    </w:p>
    <w:p w:rsidR="008C2E19" w:rsidRPr="008C2E19" w:rsidRDefault="008C2E19" w:rsidP="008C2E19">
      <w:pPr>
        <w:tabs>
          <w:tab w:val="left" w:pos="547"/>
          <w:tab w:val="left" w:pos="1080"/>
          <w:tab w:val="left" w:pos="2160"/>
          <w:tab w:val="left" w:pos="2707"/>
          <w:tab w:val="left" w:pos="3240"/>
          <w:tab w:val="left" w:pos="3787"/>
          <w:tab w:val="left" w:pos="4320"/>
        </w:tabs>
        <w:spacing w:after="0" w:line="240" w:lineRule="exact"/>
        <w:ind w:left="2700" w:right="18"/>
        <w:jc w:val="both"/>
      </w:pPr>
    </w:p>
    <w:p w:rsidR="008C2E19" w:rsidRPr="009D7EFF" w:rsidRDefault="008C2E19" w:rsidP="008C2E19">
      <w:pPr>
        <w:numPr>
          <w:ilvl w:val="0"/>
          <w:numId w:val="7"/>
        </w:numPr>
        <w:spacing w:line="240" w:lineRule="auto"/>
        <w:ind w:left="2700" w:hanging="540"/>
        <w:contextualSpacing/>
        <w:jc w:val="both"/>
      </w:pPr>
      <w:r w:rsidRPr="008C2E19">
        <w:rPr>
          <w:rFonts w:cs="Arial"/>
          <w:color w:val="000000"/>
        </w:rPr>
        <w:t>All regulations promulgated by the NYS Department of Taxation and Finance with respect to NYS sales and use taxes;</w:t>
      </w:r>
    </w:p>
    <w:p w:rsidR="009D7EFF" w:rsidRPr="008C2E19" w:rsidRDefault="009D7EFF" w:rsidP="009D7EFF">
      <w:pPr>
        <w:spacing w:line="240" w:lineRule="auto"/>
        <w:ind w:left="2700"/>
        <w:contextualSpacing/>
        <w:jc w:val="both"/>
      </w:pPr>
      <w:r>
        <w:rPr>
          <w:rFonts w:cs="Arial"/>
          <w:color w:val="000000"/>
        </w:rPr>
        <w:tab/>
      </w:r>
    </w:p>
    <w:p w:rsidR="00B13EA2" w:rsidRDefault="00B13EA2" w:rsidP="00B13EA2">
      <w:pPr>
        <w:numPr>
          <w:ilvl w:val="1"/>
          <w:numId w:val="7"/>
        </w:numPr>
        <w:tabs>
          <w:tab w:val="left" w:pos="547"/>
          <w:tab w:val="left" w:pos="1080"/>
          <w:tab w:val="left" w:pos="1627"/>
          <w:tab w:val="left" w:pos="2160"/>
          <w:tab w:val="left" w:pos="2707"/>
          <w:tab w:val="left" w:pos="3240"/>
          <w:tab w:val="left" w:pos="3787"/>
          <w:tab w:val="left" w:pos="4320"/>
        </w:tabs>
        <w:spacing w:after="0" w:line="240" w:lineRule="exact"/>
        <w:ind w:left="3240" w:right="18"/>
        <w:jc w:val="both"/>
        <w:rPr>
          <w:color w:val="FF0000"/>
        </w:rPr>
      </w:pPr>
      <w:r w:rsidRPr="00B13EA2">
        <w:rPr>
          <w:color w:val="FF0000"/>
        </w:rPr>
        <w:t>The articles and sections requir</w:t>
      </w:r>
      <w:r>
        <w:rPr>
          <w:color w:val="FF0000"/>
        </w:rPr>
        <w:t>ed from Title 20 of the NYCRR</w:t>
      </w:r>
      <w:r w:rsidRPr="00B13EA2">
        <w:rPr>
          <w:color w:val="FF0000"/>
        </w:rPr>
        <w:t xml:space="preserve"> include: </w:t>
      </w:r>
    </w:p>
    <w:p w:rsidR="00B13EA2" w:rsidRDefault="00B13EA2" w:rsidP="00B13EA2">
      <w:pPr>
        <w:numPr>
          <w:ilvl w:val="1"/>
          <w:numId w:val="17"/>
        </w:numPr>
        <w:tabs>
          <w:tab w:val="left" w:pos="547"/>
          <w:tab w:val="left" w:pos="1080"/>
          <w:tab w:val="left" w:pos="1627"/>
          <w:tab w:val="left" w:pos="2160"/>
          <w:tab w:val="left" w:pos="2707"/>
          <w:tab w:val="left" w:pos="3240"/>
          <w:tab w:val="left" w:pos="3787"/>
          <w:tab w:val="left" w:pos="4320"/>
        </w:tabs>
        <w:spacing w:after="0" w:line="240" w:lineRule="exact"/>
        <w:ind w:right="18"/>
        <w:jc w:val="both"/>
        <w:rPr>
          <w:color w:val="FF0000"/>
        </w:rPr>
      </w:pPr>
      <w:r w:rsidRPr="00B13EA2">
        <w:rPr>
          <w:color w:val="FF0000"/>
        </w:rPr>
        <w:t xml:space="preserve">Chapter </w:t>
      </w:r>
      <w:r>
        <w:rPr>
          <w:color w:val="FF0000"/>
        </w:rPr>
        <w:t xml:space="preserve">IV Sales and Use and Other Miscellaneous, Chapter VI Communications of the Division of Taxation and Finance, Chapter IX Procedural Regulations, Chapter XI Tax Appeals Tribunal, Chapter XII Bureau of Conciliation, and Chapter XIII Compromises; </w:t>
      </w:r>
    </w:p>
    <w:p w:rsidR="008C2E19" w:rsidRPr="008C2E19" w:rsidRDefault="008C2E19" w:rsidP="008C2E19">
      <w:pPr>
        <w:spacing w:line="240" w:lineRule="auto"/>
        <w:ind w:left="2700"/>
        <w:contextualSpacing/>
        <w:jc w:val="both"/>
      </w:pPr>
    </w:p>
    <w:p w:rsidR="008C2E19" w:rsidRPr="008C2E19" w:rsidRDefault="008C2E19" w:rsidP="008C2E19">
      <w:pPr>
        <w:numPr>
          <w:ilvl w:val="0"/>
          <w:numId w:val="7"/>
        </w:numPr>
        <w:spacing w:before="240" w:after="0" w:line="240" w:lineRule="auto"/>
        <w:ind w:left="2700" w:hanging="540"/>
        <w:contextualSpacing/>
        <w:jc w:val="both"/>
      </w:pPr>
      <w:r w:rsidRPr="008C2E19">
        <w:t>A topical index of the law provisions; and</w:t>
      </w:r>
    </w:p>
    <w:p w:rsidR="008C2E19" w:rsidRPr="008C2E19" w:rsidRDefault="008C2E19" w:rsidP="008C2E19">
      <w:pPr>
        <w:spacing w:after="0" w:line="240" w:lineRule="auto"/>
        <w:contextualSpacing/>
        <w:jc w:val="both"/>
      </w:pPr>
    </w:p>
    <w:p w:rsidR="008C2E19" w:rsidRPr="008C2E19" w:rsidRDefault="008C2E19" w:rsidP="008C2E19">
      <w:pPr>
        <w:numPr>
          <w:ilvl w:val="0"/>
          <w:numId w:val="5"/>
        </w:numPr>
        <w:spacing w:after="0" w:line="240" w:lineRule="auto"/>
        <w:ind w:left="2700" w:hanging="540"/>
        <w:contextualSpacing/>
        <w:jc w:val="both"/>
      </w:pPr>
      <w:r w:rsidRPr="008C2E19">
        <w:t>A table of contents, or index, used as a quick reference to the Law Section, Title and Article and where it is located in the tax law handbook.</w:t>
      </w:r>
    </w:p>
    <w:p w:rsidR="008C2E19" w:rsidRPr="008C2E19" w:rsidRDefault="008C2E19" w:rsidP="008C2E19">
      <w:pPr>
        <w:spacing w:after="0" w:line="240" w:lineRule="auto"/>
        <w:contextualSpacing/>
        <w:jc w:val="both"/>
      </w:pPr>
    </w:p>
    <w:p w:rsidR="008C2E19" w:rsidRPr="008C2E19" w:rsidRDefault="008C2E19" w:rsidP="008C2E19">
      <w:pPr>
        <w:tabs>
          <w:tab w:val="left" w:pos="547"/>
          <w:tab w:val="left" w:pos="1080"/>
          <w:tab w:val="left" w:pos="1627"/>
          <w:tab w:val="left" w:pos="2707"/>
          <w:tab w:val="left" w:pos="3240"/>
          <w:tab w:val="left" w:pos="3787"/>
          <w:tab w:val="left" w:pos="4320"/>
        </w:tabs>
        <w:spacing w:line="240" w:lineRule="exact"/>
        <w:ind w:left="1800" w:right="18"/>
        <w:jc w:val="both"/>
        <w:rPr>
          <w:b/>
        </w:rPr>
      </w:pPr>
      <w:r w:rsidRPr="008C2E19">
        <w:rPr>
          <w:b/>
        </w:rPr>
        <w:t>PLEASE NOTE: This tax law handbook must NOT contain any Technical Services Bureau Memoranda (TSBMs).</w:t>
      </w:r>
    </w:p>
    <w:p w:rsidR="008C2E19" w:rsidRPr="008C2E19" w:rsidRDefault="008C2E19" w:rsidP="008C2E19">
      <w:pPr>
        <w:spacing w:line="240" w:lineRule="exact"/>
        <w:ind w:left="1800" w:right="14"/>
        <w:jc w:val="both"/>
        <w:rPr>
          <w:b/>
          <w:u w:val="single"/>
        </w:rPr>
      </w:pPr>
      <w:r w:rsidRPr="008C2E19">
        <w:rPr>
          <w:b/>
          <w:u w:val="single"/>
        </w:rPr>
        <w:t>General Requirements</w:t>
      </w:r>
    </w:p>
    <w:p w:rsidR="008C2E19" w:rsidRPr="008C2E19" w:rsidRDefault="008C2E19" w:rsidP="008C2E19">
      <w:pPr>
        <w:spacing w:line="240" w:lineRule="exact"/>
        <w:ind w:left="2160" w:right="18"/>
        <w:jc w:val="both"/>
        <w:rPr>
          <w:b/>
        </w:rPr>
      </w:pPr>
      <w:r w:rsidRPr="008C2E19">
        <w:t xml:space="preserve">The Contractor will be required to produce the tax law handbooks according to the following specifications:  </w:t>
      </w:r>
    </w:p>
    <w:p w:rsidR="008C2E19" w:rsidRPr="008C2E19" w:rsidRDefault="008C2E19" w:rsidP="008C2E19">
      <w:pPr>
        <w:numPr>
          <w:ilvl w:val="0"/>
          <w:numId w:val="3"/>
        </w:numPr>
        <w:jc w:val="both"/>
        <w:rPr>
          <w:rFonts w:cs="Arial"/>
          <w:color w:val="000000"/>
        </w:rPr>
      </w:pPr>
      <w:r w:rsidRPr="008C2E19">
        <w:rPr>
          <w:rFonts w:cs="Arial"/>
          <w:color w:val="000000"/>
        </w:rPr>
        <w:t xml:space="preserve">Each tax law handbook must be </w:t>
      </w:r>
      <w:proofErr w:type="gramStart"/>
      <w:r w:rsidRPr="008C2E19">
        <w:rPr>
          <w:rFonts w:cs="Arial"/>
          <w:color w:val="000000"/>
        </w:rPr>
        <w:t>6 x 9</w:t>
      </w:r>
      <w:proofErr w:type="gramEnd"/>
      <w:r w:rsidRPr="008C2E19">
        <w:rPr>
          <w:rFonts w:cs="Arial"/>
          <w:color w:val="000000"/>
        </w:rPr>
        <w:t xml:space="preserve"> – inches in size.  </w:t>
      </w:r>
    </w:p>
    <w:p w:rsidR="008C2E19" w:rsidRPr="008C2E19" w:rsidRDefault="008C2E19" w:rsidP="008C2E19">
      <w:pPr>
        <w:numPr>
          <w:ilvl w:val="0"/>
          <w:numId w:val="3"/>
        </w:numPr>
        <w:jc w:val="both"/>
        <w:rPr>
          <w:rFonts w:cs="Arial"/>
          <w:color w:val="000000"/>
        </w:rPr>
      </w:pPr>
      <w:r w:rsidRPr="008C2E19">
        <w:rPr>
          <w:rFonts w:cs="Arial"/>
          <w:color w:val="000000"/>
        </w:rPr>
        <w:t>Each tax law handbook must be produced as a single volume.</w:t>
      </w:r>
    </w:p>
    <w:p w:rsidR="008C2E19" w:rsidRDefault="008C2E19" w:rsidP="008C2E19">
      <w:pPr>
        <w:numPr>
          <w:ilvl w:val="0"/>
          <w:numId w:val="3"/>
        </w:numPr>
        <w:jc w:val="both"/>
        <w:rPr>
          <w:rFonts w:cs="Arial"/>
          <w:color w:val="000000"/>
        </w:rPr>
      </w:pPr>
      <w:r w:rsidRPr="008C2E19">
        <w:rPr>
          <w:rFonts w:cs="Arial"/>
          <w:color w:val="000000"/>
        </w:rPr>
        <w:t>The ink used must be black.</w:t>
      </w:r>
    </w:p>
    <w:p w:rsidR="00884DE0" w:rsidRDefault="00884DE0" w:rsidP="00884DE0">
      <w:pPr>
        <w:ind w:left="2520"/>
        <w:jc w:val="both"/>
        <w:rPr>
          <w:rFonts w:cs="Arial"/>
          <w:color w:val="000000"/>
        </w:rPr>
      </w:pPr>
    </w:p>
    <w:p w:rsidR="00E47107" w:rsidRPr="008C2E19" w:rsidRDefault="00E47107" w:rsidP="00E47107">
      <w:pPr>
        <w:pStyle w:val="Footer"/>
        <w:ind w:left="2520"/>
        <w:jc w:val="right"/>
      </w:pPr>
      <w:r>
        <w:t>P</w:t>
      </w:r>
      <w:r w:rsidRPr="004C0433">
        <w:t xml:space="preserve">age </w:t>
      </w:r>
      <w:r>
        <w:rPr>
          <w:b/>
          <w:sz w:val="24"/>
          <w:szCs w:val="24"/>
        </w:rPr>
        <w:t>15</w:t>
      </w:r>
      <w:r w:rsidRPr="004C0433">
        <w:t xml:space="preserve"> of </w:t>
      </w:r>
      <w:r>
        <w:rPr>
          <w:b/>
          <w:sz w:val="24"/>
          <w:szCs w:val="24"/>
        </w:rPr>
        <w:t>95</w:t>
      </w:r>
    </w:p>
    <w:p w:rsidR="00E47107" w:rsidRPr="008C2E19" w:rsidRDefault="00E47107" w:rsidP="00E47107">
      <w:pPr>
        <w:ind w:left="2520"/>
        <w:jc w:val="both"/>
        <w:rPr>
          <w:rFonts w:cs="Arial"/>
          <w:color w:val="000000"/>
        </w:rPr>
      </w:pPr>
    </w:p>
    <w:p w:rsidR="008C2E19" w:rsidRPr="008C2E19" w:rsidRDefault="008C2E19" w:rsidP="008C2E19">
      <w:pPr>
        <w:numPr>
          <w:ilvl w:val="0"/>
          <w:numId w:val="3"/>
        </w:numPr>
        <w:jc w:val="both"/>
        <w:rPr>
          <w:rFonts w:cs="Arial"/>
          <w:color w:val="000000"/>
        </w:rPr>
      </w:pPr>
      <w:r w:rsidRPr="008C2E19">
        <w:rPr>
          <w:rFonts w:cs="Arial"/>
          <w:color w:val="000000"/>
        </w:rPr>
        <w:lastRenderedPageBreak/>
        <w:t xml:space="preserve">Stock: </w:t>
      </w:r>
    </w:p>
    <w:p w:rsidR="008C2E19" w:rsidRPr="008C2E19" w:rsidRDefault="008C2E19" w:rsidP="008C2E19">
      <w:pPr>
        <w:numPr>
          <w:ilvl w:val="1"/>
          <w:numId w:val="3"/>
        </w:numPr>
        <w:jc w:val="both"/>
        <w:rPr>
          <w:rFonts w:cs="Arial"/>
          <w:color w:val="000000"/>
        </w:rPr>
      </w:pPr>
      <w:r w:rsidRPr="008C2E19">
        <w:rPr>
          <w:rFonts w:cs="Arial"/>
          <w:color w:val="000000"/>
        </w:rPr>
        <w:t>Text: Paper that will minimize bleed-through and allow for photocopying/scanning</w:t>
      </w:r>
    </w:p>
    <w:p w:rsidR="008C2E19" w:rsidRPr="008C2E19" w:rsidRDefault="008C2E19" w:rsidP="008C2E19">
      <w:pPr>
        <w:numPr>
          <w:ilvl w:val="1"/>
          <w:numId w:val="3"/>
        </w:numPr>
        <w:jc w:val="both"/>
        <w:rPr>
          <w:rFonts w:cs="Arial"/>
          <w:color w:val="000000"/>
        </w:rPr>
      </w:pPr>
      <w:r w:rsidRPr="008C2E19">
        <w:rPr>
          <w:rFonts w:cs="Arial"/>
          <w:color w:val="000000"/>
        </w:rPr>
        <w:t>Cover: Soft cover stock in a different color for each tax law handbook (minimum of 80 lb.)</w:t>
      </w:r>
    </w:p>
    <w:p w:rsidR="008C2E19" w:rsidRPr="008C2E19" w:rsidRDefault="008C2E19" w:rsidP="008C2E19">
      <w:pPr>
        <w:numPr>
          <w:ilvl w:val="0"/>
          <w:numId w:val="4"/>
        </w:numPr>
        <w:ind w:left="2520"/>
        <w:jc w:val="both"/>
        <w:rPr>
          <w:rFonts w:cs="Arial"/>
          <w:color w:val="000000"/>
        </w:rPr>
      </w:pPr>
      <w:r w:rsidRPr="008C2E19">
        <w:rPr>
          <w:rFonts w:cs="Arial"/>
          <w:color w:val="000000"/>
        </w:rPr>
        <w:t>Bindery: Perfect bound, gutter spine</w:t>
      </w:r>
    </w:p>
    <w:p w:rsidR="008C2E19" w:rsidRPr="008C2E19" w:rsidRDefault="008C2E19" w:rsidP="008C2E19">
      <w:pPr>
        <w:ind w:left="1800"/>
        <w:jc w:val="both"/>
        <w:rPr>
          <w:rFonts w:cs="Arial"/>
          <w:color w:val="000000"/>
        </w:rPr>
      </w:pPr>
      <w:r w:rsidRPr="008C2E19">
        <w:rPr>
          <w:rFonts w:cs="Arial"/>
          <w:b/>
          <w:color w:val="000000"/>
        </w:rPr>
        <w:t>PLEASE NOTE THE FOLLOWING:</w:t>
      </w:r>
      <w:r w:rsidRPr="008C2E19">
        <w:rPr>
          <w:rFonts w:cs="Arial"/>
          <w:color w:val="000000"/>
        </w:rPr>
        <w:t xml:space="preserve"> </w:t>
      </w:r>
    </w:p>
    <w:p w:rsidR="008C2E19" w:rsidRPr="008C2E19" w:rsidRDefault="008C2E19" w:rsidP="008C2E19">
      <w:pPr>
        <w:ind w:left="1800"/>
        <w:jc w:val="both"/>
        <w:rPr>
          <w:rFonts w:cs="Arial"/>
          <w:color w:val="000000"/>
        </w:rPr>
      </w:pPr>
      <w:r w:rsidRPr="008C2E19">
        <w:rPr>
          <w:rFonts w:cs="Arial"/>
          <w:color w:val="000000"/>
        </w:rPr>
        <w:t>When printing is provided on recycled stock, Contractor must include a printed statement or symbol on the printed material which indicates that the document is printed on recycled stock.</w:t>
      </w:r>
    </w:p>
    <w:p w:rsidR="004C0433" w:rsidRDefault="008C2E19" w:rsidP="004C0433">
      <w:pPr>
        <w:ind w:left="1800"/>
        <w:jc w:val="both"/>
        <w:rPr>
          <w:rFonts w:cs="Arial"/>
          <w:color w:val="000000"/>
        </w:rPr>
      </w:pPr>
      <w:r w:rsidRPr="008C2E19">
        <w:rPr>
          <w:rFonts w:cs="Arial"/>
          <w:color w:val="000000"/>
        </w:rPr>
        <w:t>All lithographic inks used in the production of New York State printing must contain the following minimum percentages of vegetable oil: News Inks – 40%; Sheet Fed Inks – 20%; Forms I</w:t>
      </w:r>
      <w:r w:rsidR="004C0433">
        <w:rPr>
          <w:rFonts w:cs="Arial"/>
          <w:color w:val="000000"/>
        </w:rPr>
        <w:t>nks – 20%; Heat Set Inks – 10%.</w:t>
      </w:r>
    </w:p>
    <w:p w:rsidR="004C0433" w:rsidRPr="004C0433" w:rsidRDefault="008C2E19" w:rsidP="004C0433">
      <w:pPr>
        <w:ind w:left="1800"/>
        <w:jc w:val="both"/>
        <w:rPr>
          <w:rFonts w:cs="Arial"/>
          <w:color w:val="000000"/>
        </w:rPr>
      </w:pPr>
      <w:r w:rsidRPr="008C2E19">
        <w:rPr>
          <w:rFonts w:cs="Arial"/>
          <w:color w:val="000000"/>
        </w:rPr>
        <w:t xml:space="preserve">Bidders must supply a sample of the paper to be used along with their bid proposal. </w:t>
      </w:r>
    </w:p>
    <w:p w:rsidR="008C2E19" w:rsidRPr="008C2E19" w:rsidRDefault="008C2E19" w:rsidP="008C2E19">
      <w:pPr>
        <w:ind w:left="1080"/>
        <w:jc w:val="both"/>
        <w:rPr>
          <w:rFonts w:cs="Arial"/>
          <w:b/>
          <w:color w:val="000000"/>
        </w:rPr>
      </w:pPr>
      <w:r w:rsidRPr="008C2E19">
        <w:rPr>
          <w:rFonts w:cs="Arial"/>
          <w:b/>
          <w:color w:val="000000"/>
          <w:u w:val="single"/>
        </w:rPr>
        <w:t>Response Requirement</w:t>
      </w:r>
      <w:r w:rsidRPr="008C2E19">
        <w:rPr>
          <w:rFonts w:cs="Arial"/>
          <w:b/>
          <w:color w:val="000000"/>
        </w:rPr>
        <w:t>:</w:t>
      </w:r>
    </w:p>
    <w:p w:rsidR="008C2E19" w:rsidRPr="008C2E19" w:rsidRDefault="008C2E19" w:rsidP="008C2E19">
      <w:pPr>
        <w:ind w:left="1080"/>
        <w:jc w:val="both"/>
        <w:rPr>
          <w:rFonts w:cs="Arial"/>
          <w:color w:val="000000"/>
        </w:rPr>
      </w:pPr>
      <w:r w:rsidRPr="008C2E19">
        <w:rPr>
          <w:rFonts w:cs="Arial"/>
          <w:color w:val="000000"/>
        </w:rPr>
        <w:t xml:space="preserve">On </w:t>
      </w:r>
      <w:r w:rsidRPr="008C2E19">
        <w:rPr>
          <w:rFonts w:cs="Arial"/>
          <w:b/>
          <w:color w:val="000000"/>
        </w:rPr>
        <w:t>Attachment A, Attestation</w:t>
      </w:r>
      <w:r w:rsidRPr="008C2E19">
        <w:rPr>
          <w:rFonts w:cs="Arial"/>
          <w:color w:val="000000"/>
        </w:rPr>
        <w:t>, the Bidder must affirm they have read the IFB in its entirety and understands and agrees to abide by the Requirements stated above.</w:t>
      </w: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Default="00B75681" w:rsidP="00B75681">
      <w:pPr>
        <w:tabs>
          <w:tab w:val="center" w:pos="4680"/>
          <w:tab w:val="right" w:pos="9360"/>
        </w:tabs>
        <w:jc w:val="right"/>
      </w:pPr>
    </w:p>
    <w:p w:rsidR="00B75681" w:rsidRPr="00B75681" w:rsidRDefault="00B75681" w:rsidP="00B75681">
      <w:pPr>
        <w:tabs>
          <w:tab w:val="center" w:pos="4680"/>
          <w:tab w:val="right" w:pos="9360"/>
        </w:tabs>
        <w:jc w:val="right"/>
      </w:pPr>
      <w:r w:rsidRPr="00B75681">
        <w:t xml:space="preserve">Page </w:t>
      </w:r>
      <w:r w:rsidR="00EB37DE">
        <w:rPr>
          <w:b/>
          <w:sz w:val="24"/>
          <w:szCs w:val="24"/>
        </w:rPr>
        <w:t>16</w:t>
      </w:r>
      <w:r w:rsidRPr="00B75681">
        <w:t xml:space="preserve"> of </w:t>
      </w:r>
      <w:r w:rsidR="00EB37DE">
        <w:rPr>
          <w:b/>
          <w:sz w:val="24"/>
          <w:szCs w:val="24"/>
        </w:rPr>
        <w:t>95</w:t>
      </w:r>
    </w:p>
    <w:p w:rsidR="00B6427C" w:rsidRPr="0095225D" w:rsidRDefault="00B6427C" w:rsidP="0095225D">
      <w:pPr>
        <w:spacing w:before="240"/>
        <w:jc w:val="center"/>
        <w:rPr>
          <w:noProof/>
        </w:rPr>
        <w:sectPr w:rsidR="00B6427C" w:rsidRPr="0095225D" w:rsidSect="00FD1556">
          <w:pgSz w:w="12240" w:h="15840"/>
          <w:pgMar w:top="1440" w:right="1440" w:bottom="576" w:left="1440" w:header="360" w:footer="360" w:gutter="0"/>
          <w:cols w:space="720"/>
          <w:docGrid w:linePitch="360"/>
        </w:sectPr>
      </w:pPr>
    </w:p>
    <w:p w:rsidR="00DF7DCD" w:rsidRPr="00DF7DCD" w:rsidRDefault="00DF7DCD" w:rsidP="00DF7DCD">
      <w:pPr>
        <w:keepNext/>
        <w:spacing w:before="240" w:after="60"/>
        <w:jc w:val="center"/>
        <w:outlineLvl w:val="0"/>
        <w:rPr>
          <w:rFonts w:eastAsia="Times New Roman"/>
          <w:b/>
          <w:bCs/>
          <w:kern w:val="32"/>
          <w:sz w:val="28"/>
          <w:szCs w:val="28"/>
        </w:rPr>
      </w:pPr>
      <w:bookmarkStart w:id="5" w:name="_Toc324517535"/>
      <w:bookmarkStart w:id="6" w:name="_Toc461795751"/>
      <w:bookmarkStart w:id="7" w:name="_GoBack"/>
      <w:bookmarkEnd w:id="7"/>
      <w:r w:rsidRPr="00DF7DCD">
        <w:rPr>
          <w:rFonts w:eastAsia="Times New Roman"/>
          <w:b/>
          <w:bCs/>
          <w:kern w:val="32"/>
          <w:sz w:val="28"/>
          <w:szCs w:val="28"/>
        </w:rPr>
        <w:lastRenderedPageBreak/>
        <w:t xml:space="preserve">Exhibit 1 – </w:t>
      </w:r>
      <w:bookmarkEnd w:id="5"/>
      <w:r w:rsidRPr="00DF7DCD">
        <w:rPr>
          <w:rFonts w:eastAsia="Times New Roman"/>
          <w:b/>
          <w:bCs/>
          <w:kern w:val="32"/>
          <w:sz w:val="28"/>
          <w:szCs w:val="28"/>
        </w:rPr>
        <w:t>Previous Five (5) Annual Orders’ Volume and Page Counts</w:t>
      </w:r>
      <w:bookmarkEnd w:id="6"/>
    </w:p>
    <w:p w:rsidR="00DF7DCD" w:rsidRPr="00DF7DCD" w:rsidRDefault="00DF7DCD" w:rsidP="00DF7DCD"/>
    <w:tbl>
      <w:tblPr>
        <w:tblW w:w="11520" w:type="dxa"/>
        <w:tblInd w:w="93" w:type="dxa"/>
        <w:tblLook w:val="04A0" w:firstRow="1" w:lastRow="0" w:firstColumn="1" w:lastColumn="0" w:noHBand="0" w:noVBand="1"/>
      </w:tblPr>
      <w:tblGrid>
        <w:gridCol w:w="11520"/>
      </w:tblGrid>
      <w:tr w:rsidR="00DF7DCD" w:rsidRPr="00DF7DCD" w:rsidTr="007475D6">
        <w:trPr>
          <w:trHeight w:val="288"/>
        </w:trPr>
        <w:tc>
          <w:tcPr>
            <w:tcW w:w="4260" w:type="dxa"/>
            <w:tcBorders>
              <w:top w:val="nil"/>
              <w:left w:val="nil"/>
              <w:bottom w:val="nil"/>
              <w:right w:val="nil"/>
            </w:tcBorders>
            <w:shd w:val="clear" w:color="auto" w:fill="auto"/>
            <w:noWrap/>
            <w:vAlign w:val="bottom"/>
          </w:tcPr>
          <w:p w:rsidR="00DF7DCD" w:rsidRPr="00DF7DCD" w:rsidRDefault="00DF7DCD" w:rsidP="00DF7DCD">
            <w:pPr>
              <w:spacing w:after="0" w:line="240" w:lineRule="auto"/>
              <w:rPr>
                <w:rFonts w:eastAsia="Times New Roman" w:cs="Calibri"/>
                <w:b/>
                <w:color w:val="000000"/>
                <w:sz w:val="24"/>
                <w:szCs w:val="24"/>
              </w:rPr>
            </w:pPr>
            <w:r w:rsidRPr="00DF7DCD">
              <w:rPr>
                <w:rFonts w:eastAsia="Times New Roman" w:cs="Calibri"/>
                <w:b/>
                <w:color w:val="000000"/>
                <w:sz w:val="24"/>
                <w:szCs w:val="24"/>
              </w:rPr>
              <w:t xml:space="preserve">Exhibit 1 is provided for informational purposes only and is not a guarantee of volumes  </w:t>
            </w:r>
          </w:p>
          <w:p w:rsidR="00DF7DCD" w:rsidRPr="00DF7DCD" w:rsidRDefault="00DF7DCD" w:rsidP="00DF7DCD">
            <w:pPr>
              <w:spacing w:after="0" w:line="240" w:lineRule="auto"/>
              <w:rPr>
                <w:rFonts w:eastAsia="Times New Roman" w:cs="Calibri"/>
                <w:b/>
                <w:color w:val="000000"/>
                <w:sz w:val="24"/>
                <w:szCs w:val="24"/>
              </w:rPr>
            </w:pPr>
            <w:proofErr w:type="gramStart"/>
            <w:r w:rsidRPr="00DF7DCD">
              <w:rPr>
                <w:rFonts w:eastAsia="Times New Roman" w:cs="Calibri"/>
                <w:b/>
                <w:color w:val="000000"/>
                <w:sz w:val="24"/>
                <w:szCs w:val="24"/>
              </w:rPr>
              <w:t>ordered</w:t>
            </w:r>
            <w:proofErr w:type="gramEnd"/>
            <w:r w:rsidRPr="00DF7DCD">
              <w:rPr>
                <w:rFonts w:eastAsia="Times New Roman" w:cs="Calibri"/>
                <w:b/>
                <w:color w:val="000000"/>
                <w:sz w:val="24"/>
                <w:szCs w:val="24"/>
              </w:rPr>
              <w:t xml:space="preserve"> and/or page counts for each handbook from year to year.</w:t>
            </w:r>
          </w:p>
        </w:tc>
      </w:tr>
      <w:tr w:rsidR="00DF7DCD" w:rsidRPr="00DF7DCD" w:rsidTr="007475D6">
        <w:trPr>
          <w:trHeight w:val="288"/>
        </w:trPr>
        <w:tc>
          <w:tcPr>
            <w:tcW w:w="4260" w:type="dxa"/>
            <w:tcBorders>
              <w:top w:val="nil"/>
              <w:left w:val="nil"/>
              <w:bottom w:val="nil"/>
              <w:right w:val="nil"/>
            </w:tcBorders>
            <w:shd w:val="clear" w:color="auto" w:fill="auto"/>
            <w:noWrap/>
            <w:vAlign w:val="bottom"/>
          </w:tcPr>
          <w:tbl>
            <w:tblPr>
              <w:tblpPr w:leftFromText="180" w:rightFromText="180" w:vertAnchor="text" w:horzAnchor="margin" w:tblpY="102"/>
              <w:tblOverlap w:val="never"/>
              <w:tblW w:w="9160" w:type="dxa"/>
              <w:tblLook w:val="04A0" w:firstRow="1" w:lastRow="0" w:firstColumn="1" w:lastColumn="0" w:noHBand="0" w:noVBand="1"/>
            </w:tblPr>
            <w:tblGrid>
              <w:gridCol w:w="4260"/>
              <w:gridCol w:w="980"/>
              <w:gridCol w:w="980"/>
              <w:gridCol w:w="980"/>
              <w:gridCol w:w="980"/>
              <w:gridCol w:w="980"/>
            </w:tblGrid>
            <w:tr w:rsidR="00DF7DCD" w:rsidRPr="00DF7DCD" w:rsidTr="007475D6">
              <w:trPr>
                <w:trHeight w:val="288"/>
              </w:trPr>
              <w:tc>
                <w:tcPr>
                  <w:tcW w:w="4260" w:type="dxa"/>
                  <w:shd w:val="clear" w:color="auto" w:fill="auto"/>
                  <w:noWrap/>
                  <w:vAlign w:val="bottom"/>
                </w:tcPr>
                <w:p w:rsidR="00DF7DCD" w:rsidRPr="00DF7DCD" w:rsidRDefault="00DF7DCD" w:rsidP="00DF7DCD">
                  <w:pPr>
                    <w:spacing w:after="0" w:line="240" w:lineRule="auto"/>
                    <w:rPr>
                      <w:rFonts w:eastAsia="Times New Roman" w:cs="Calibri"/>
                      <w:color w:val="000000"/>
                    </w:rPr>
                  </w:pPr>
                </w:p>
              </w:tc>
              <w:tc>
                <w:tcPr>
                  <w:tcW w:w="980" w:type="dxa"/>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980" w:type="dxa"/>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980" w:type="dxa"/>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980" w:type="dxa"/>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980" w:type="dxa"/>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r>
          </w:tbl>
          <w:p w:rsidR="00DF7DCD" w:rsidRPr="00DF7DCD" w:rsidRDefault="00DF7DCD" w:rsidP="00DF7DCD">
            <w:pPr>
              <w:rPr>
                <w:rFonts w:eastAsia="Times New Roman" w:cs="Calibri"/>
                <w:color w:val="000000"/>
                <w:sz w:val="24"/>
                <w:szCs w:val="24"/>
              </w:rPr>
            </w:pPr>
          </w:p>
        </w:tc>
      </w:tr>
    </w:tbl>
    <w:p w:rsidR="00DF7DCD" w:rsidRPr="00DF7DCD" w:rsidRDefault="00DF7DCD" w:rsidP="00DF7DCD"/>
    <w:tbl>
      <w:tblPr>
        <w:tblW w:w="16697" w:type="dxa"/>
        <w:tblInd w:w="93" w:type="dxa"/>
        <w:tblLook w:val="04A0" w:firstRow="1" w:lastRow="0" w:firstColumn="1" w:lastColumn="0" w:noHBand="0" w:noVBand="1"/>
      </w:tblPr>
      <w:tblGrid>
        <w:gridCol w:w="9437"/>
        <w:gridCol w:w="1720"/>
        <w:gridCol w:w="1540"/>
        <w:gridCol w:w="1580"/>
        <w:gridCol w:w="1180"/>
        <w:gridCol w:w="1240"/>
      </w:tblGrid>
      <w:tr w:rsidR="00DF7DCD" w:rsidRPr="00DF7DCD" w:rsidTr="00DF7DCD">
        <w:trPr>
          <w:trHeight w:val="288"/>
        </w:trPr>
        <w:tc>
          <w:tcPr>
            <w:tcW w:w="9437" w:type="dxa"/>
            <w:tcBorders>
              <w:top w:val="nil"/>
              <w:left w:val="nil"/>
              <w:bottom w:val="nil"/>
              <w:right w:val="nil"/>
            </w:tcBorders>
            <w:shd w:val="clear" w:color="auto" w:fill="auto"/>
            <w:noWrap/>
            <w:vAlign w:val="bottom"/>
          </w:tcPr>
          <w:p w:rsidR="00DF7DCD" w:rsidRPr="00DF7DCD" w:rsidRDefault="00DF7DCD" w:rsidP="00DF7DCD">
            <w:pPr>
              <w:spacing w:after="0" w:line="240" w:lineRule="auto"/>
              <w:rPr>
                <w:rFonts w:eastAsia="Times New Roman" w:cs="Calibri"/>
                <w:b/>
                <w:bCs/>
                <w:color w:val="000000"/>
                <w:u w:val="single"/>
              </w:rPr>
            </w:pPr>
          </w:p>
        </w:tc>
        <w:tc>
          <w:tcPr>
            <w:tcW w:w="172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154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158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118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c>
          <w:tcPr>
            <w:tcW w:w="124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color w:val="000000"/>
              </w:rPr>
            </w:pPr>
          </w:p>
        </w:tc>
      </w:tr>
      <w:tr w:rsidR="00DF7DCD" w:rsidRPr="00DF7DCD" w:rsidTr="00DF7DCD">
        <w:trPr>
          <w:trHeight w:val="288"/>
        </w:trPr>
        <w:tc>
          <w:tcPr>
            <w:tcW w:w="9437" w:type="dxa"/>
            <w:tcBorders>
              <w:top w:val="nil"/>
              <w:left w:val="nil"/>
              <w:bottom w:val="nil"/>
              <w:right w:val="nil"/>
            </w:tcBorders>
            <w:shd w:val="clear" w:color="auto" w:fill="auto"/>
            <w:noWrap/>
            <w:vAlign w:val="bottom"/>
          </w:tcPr>
          <w:tbl>
            <w:tblPr>
              <w:tblStyle w:val="LightGrid"/>
              <w:tblW w:w="8447" w:type="dxa"/>
              <w:tblLook w:val="04A0" w:firstRow="1" w:lastRow="0" w:firstColumn="1" w:lastColumn="0" w:noHBand="0" w:noVBand="1"/>
            </w:tblPr>
            <w:tblGrid>
              <w:gridCol w:w="1321"/>
              <w:gridCol w:w="862"/>
              <w:gridCol w:w="714"/>
              <w:gridCol w:w="862"/>
              <w:gridCol w:w="714"/>
              <w:gridCol w:w="862"/>
              <w:gridCol w:w="714"/>
              <w:gridCol w:w="862"/>
              <w:gridCol w:w="714"/>
              <w:gridCol w:w="862"/>
              <w:gridCol w:w="714"/>
            </w:tblGrid>
            <w:tr w:rsidR="00DF7DCD" w:rsidRPr="00DF7DCD" w:rsidTr="007475D6">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21" w:type="dxa"/>
                  <w:vMerge w:val="restart"/>
                  <w:noWrap/>
                  <w:hideMark/>
                </w:tcPr>
                <w:p w:rsidR="00DF7DCD" w:rsidRPr="00DF7DCD" w:rsidRDefault="00DF7DCD" w:rsidP="00DF7DCD">
                  <w:pPr>
                    <w:rPr>
                      <w:rFonts w:asciiTheme="minorHAnsi" w:eastAsia="Times New Roman" w:hAnsiTheme="minorHAnsi" w:cs="Calibri"/>
                      <w:sz w:val="20"/>
                      <w:szCs w:val="20"/>
                    </w:rPr>
                  </w:pPr>
                  <w:r w:rsidRPr="00DF7DCD">
                    <w:rPr>
                      <w:rFonts w:asciiTheme="minorHAnsi" w:eastAsia="Times New Roman" w:hAnsiTheme="minorHAnsi" w:cs="Calibri"/>
                      <w:sz w:val="20"/>
                      <w:szCs w:val="20"/>
                      <w:u w:val="single"/>
                    </w:rPr>
                    <w:t>Handbook Title</w:t>
                  </w:r>
                </w:p>
              </w:tc>
              <w:tc>
                <w:tcPr>
                  <w:tcW w:w="1367" w:type="dxa"/>
                  <w:gridSpan w:val="2"/>
                  <w:noWrap/>
                  <w:hideMark/>
                </w:tcPr>
                <w:p w:rsidR="00DF7DCD" w:rsidRPr="00DF7DCD" w:rsidRDefault="00DF7DCD" w:rsidP="00DF7DC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 xml:space="preserve"> 2016</w:t>
                  </w:r>
                </w:p>
                <w:p w:rsidR="00DF7DCD" w:rsidRPr="00DF7DCD" w:rsidRDefault="00DF7DCD" w:rsidP="00DF7DC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0"/>
                      <w:szCs w:val="20"/>
                    </w:rPr>
                  </w:pPr>
                </w:p>
              </w:tc>
              <w:tc>
                <w:tcPr>
                  <w:tcW w:w="1349" w:type="dxa"/>
                  <w:gridSpan w:val="2"/>
                </w:tcPr>
                <w:p w:rsidR="00DF7DCD" w:rsidRPr="00DF7DCD" w:rsidRDefault="00DF7DCD" w:rsidP="00DF7DC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2015</w:t>
                  </w:r>
                </w:p>
              </w:tc>
              <w:tc>
                <w:tcPr>
                  <w:tcW w:w="1530" w:type="dxa"/>
                  <w:gridSpan w:val="2"/>
                  <w:noWrap/>
                  <w:hideMark/>
                </w:tcPr>
                <w:p w:rsidR="00DF7DCD" w:rsidRPr="00DF7DCD" w:rsidRDefault="00DF7DCD" w:rsidP="00DF7DC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 xml:space="preserve">2014   </w:t>
                  </w:r>
                </w:p>
              </w:tc>
              <w:tc>
                <w:tcPr>
                  <w:tcW w:w="1440" w:type="dxa"/>
                  <w:gridSpan w:val="2"/>
                  <w:noWrap/>
                  <w:hideMark/>
                </w:tcPr>
                <w:p w:rsidR="00DF7DCD" w:rsidRPr="00DF7DCD" w:rsidRDefault="00DF7DCD" w:rsidP="00DF7DC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2013</w:t>
                  </w:r>
                </w:p>
              </w:tc>
              <w:tc>
                <w:tcPr>
                  <w:tcW w:w="1440" w:type="dxa"/>
                  <w:gridSpan w:val="2"/>
                  <w:noWrap/>
                  <w:hideMark/>
                </w:tcPr>
                <w:p w:rsidR="00DF7DCD" w:rsidRPr="00DF7DCD" w:rsidRDefault="00DF7DCD" w:rsidP="00DF7DC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2012</w:t>
                  </w:r>
                </w:p>
              </w:tc>
            </w:tr>
            <w:tr w:rsidR="00DF7DCD" w:rsidRPr="00DF7DCD" w:rsidTr="007475D6">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321" w:type="dxa"/>
                  <w:vMerge/>
                  <w:noWrap/>
                </w:tcPr>
                <w:p w:rsidR="00DF7DCD" w:rsidRPr="00DF7DCD" w:rsidRDefault="00DF7DCD" w:rsidP="00DF7DCD">
                  <w:pPr>
                    <w:rPr>
                      <w:rFonts w:asciiTheme="minorHAnsi" w:eastAsia="Times New Roman" w:hAnsiTheme="minorHAnsi" w:cs="Calibri"/>
                      <w:sz w:val="20"/>
                      <w:szCs w:val="20"/>
                    </w:rPr>
                  </w:pPr>
                </w:p>
              </w:tc>
              <w:tc>
                <w:tcPr>
                  <w:tcW w:w="737"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Volume</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 xml:space="preserve">Page Count </w:t>
                  </w:r>
                </w:p>
              </w:tc>
              <w:tc>
                <w:tcPr>
                  <w:tcW w:w="733"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Volume</w:t>
                  </w:r>
                </w:p>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p>
              </w:tc>
              <w:tc>
                <w:tcPr>
                  <w:tcW w:w="616"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Page Count</w:t>
                  </w:r>
                </w:p>
              </w:tc>
              <w:tc>
                <w:tcPr>
                  <w:tcW w:w="810"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Volume</w:t>
                  </w:r>
                </w:p>
              </w:tc>
              <w:tc>
                <w:tcPr>
                  <w:tcW w:w="72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Page Count</w:t>
                  </w:r>
                </w:p>
              </w:tc>
              <w:tc>
                <w:tcPr>
                  <w:tcW w:w="733" w:type="dxa"/>
                  <w:noWrap/>
                </w:tcPr>
                <w:p w:rsidR="00DF7DCD" w:rsidRPr="00DF7DCD" w:rsidRDefault="00DF7DCD" w:rsidP="00DF7DCD">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Volume</w:t>
                  </w:r>
                </w:p>
              </w:tc>
              <w:tc>
                <w:tcPr>
                  <w:tcW w:w="707"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 xml:space="preserve">Page Count </w:t>
                  </w:r>
                </w:p>
              </w:tc>
              <w:tc>
                <w:tcPr>
                  <w:tcW w:w="810"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Volume</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b/>
                      <w:bCs/>
                      <w:sz w:val="20"/>
                      <w:szCs w:val="20"/>
                    </w:rPr>
                  </w:pPr>
                  <w:r w:rsidRPr="00DF7DCD">
                    <w:rPr>
                      <w:rFonts w:asciiTheme="minorHAnsi" w:eastAsia="Times New Roman" w:hAnsiTheme="minorHAnsi" w:cs="Calibri"/>
                      <w:b/>
                      <w:bCs/>
                      <w:sz w:val="20"/>
                      <w:szCs w:val="20"/>
                    </w:rPr>
                    <w:t>Page Count</w:t>
                  </w:r>
                </w:p>
              </w:tc>
            </w:tr>
            <w:tr w:rsidR="007475D6" w:rsidRPr="00DF7DCD" w:rsidTr="007475D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hideMark/>
                </w:tcPr>
                <w:p w:rsidR="00DF7DCD" w:rsidRPr="00DF7DCD" w:rsidRDefault="00DF7DCD" w:rsidP="00DF7DCD">
                  <w:pPr>
                    <w:rPr>
                      <w:rFonts w:asciiTheme="minorHAnsi" w:eastAsia="Times New Roman" w:hAnsiTheme="minorHAnsi" w:cs="Calibri"/>
                      <w:sz w:val="20"/>
                      <w:szCs w:val="20"/>
                    </w:rPr>
                  </w:pPr>
                </w:p>
              </w:tc>
              <w:tc>
                <w:tcPr>
                  <w:tcW w:w="737"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733"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616" w:type="dxa"/>
                  <w:noWrap/>
                  <w:hideMark/>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810"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72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733" w:type="dxa"/>
                  <w:noWrap/>
                  <w:hideMark/>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707"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810" w:type="dxa"/>
                  <w:noWrap/>
                  <w:hideMark/>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b/>
                      <w:bCs/>
                      <w:sz w:val="20"/>
                      <w:szCs w:val="20"/>
                    </w:rPr>
                  </w:pPr>
                </w:p>
              </w:tc>
            </w:tr>
            <w:tr w:rsidR="00DF7DCD" w:rsidRPr="00DF7DCD" w:rsidTr="007475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hideMark/>
                </w:tcPr>
                <w:p w:rsidR="00DF7DCD" w:rsidRPr="00DF7DCD" w:rsidRDefault="00DF7DCD" w:rsidP="00DF7DCD">
                  <w:pPr>
                    <w:rPr>
                      <w:rFonts w:asciiTheme="minorHAnsi" w:eastAsia="Times New Roman" w:hAnsiTheme="minorHAnsi" w:cs="Calibri"/>
                      <w:sz w:val="20"/>
                      <w:szCs w:val="20"/>
                      <w:u w:val="single"/>
                    </w:rPr>
                  </w:pPr>
                  <w:r w:rsidRPr="00DF7DCD">
                    <w:rPr>
                      <w:rFonts w:asciiTheme="minorHAnsi" w:eastAsia="Times New Roman" w:hAnsiTheme="minorHAnsi" w:cs="Calibri"/>
                      <w:sz w:val="20"/>
                      <w:szCs w:val="20"/>
                      <w:u w:val="single"/>
                    </w:rPr>
                    <w:t>NYS Tax Law</w:t>
                  </w:r>
                </w:p>
              </w:tc>
              <w:tc>
                <w:tcPr>
                  <w:tcW w:w="737"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250</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1,776</w:t>
                  </w:r>
                </w:p>
              </w:tc>
              <w:tc>
                <w:tcPr>
                  <w:tcW w:w="733"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219</w:t>
                  </w:r>
                </w:p>
              </w:tc>
              <w:tc>
                <w:tcPr>
                  <w:tcW w:w="616"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1,696</w:t>
                  </w:r>
                </w:p>
              </w:tc>
              <w:tc>
                <w:tcPr>
                  <w:tcW w:w="810"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220</w:t>
                  </w:r>
                </w:p>
              </w:tc>
              <w:tc>
                <w:tcPr>
                  <w:tcW w:w="72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1,703</w:t>
                  </w:r>
                </w:p>
              </w:tc>
              <w:tc>
                <w:tcPr>
                  <w:tcW w:w="733"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188</w:t>
                  </w:r>
                </w:p>
              </w:tc>
              <w:tc>
                <w:tcPr>
                  <w:tcW w:w="707"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1,670</w:t>
                  </w:r>
                </w:p>
              </w:tc>
              <w:tc>
                <w:tcPr>
                  <w:tcW w:w="810"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204</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1,696</w:t>
                  </w:r>
                </w:p>
              </w:tc>
            </w:tr>
            <w:tr w:rsidR="007475D6" w:rsidRPr="00DF7DCD" w:rsidTr="007475D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tcPr>
                <w:p w:rsidR="00DF7DCD" w:rsidRPr="00DF7DCD" w:rsidRDefault="00DF7DCD" w:rsidP="00DF7DCD">
                  <w:pPr>
                    <w:rPr>
                      <w:rFonts w:asciiTheme="minorHAnsi" w:eastAsia="Times New Roman" w:hAnsiTheme="minorHAnsi" w:cs="Calibri"/>
                      <w:sz w:val="20"/>
                      <w:szCs w:val="20"/>
                      <w:u w:val="single"/>
                    </w:rPr>
                  </w:pPr>
                </w:p>
              </w:tc>
              <w:tc>
                <w:tcPr>
                  <w:tcW w:w="737"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33"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16"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810"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2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33"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07"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810"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r>
            <w:tr w:rsidR="00DF7DCD" w:rsidRPr="00DF7DCD" w:rsidTr="007475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hideMark/>
                </w:tcPr>
                <w:p w:rsidR="00DF7DCD" w:rsidRPr="00DF7DCD" w:rsidRDefault="00DF7DCD" w:rsidP="00DF7DCD">
                  <w:pPr>
                    <w:rPr>
                      <w:rFonts w:asciiTheme="minorHAnsi" w:eastAsia="Times New Roman" w:hAnsiTheme="minorHAnsi" w:cs="Calibri"/>
                      <w:sz w:val="20"/>
                      <w:szCs w:val="20"/>
                      <w:u w:val="single"/>
                    </w:rPr>
                  </w:pPr>
                  <w:r w:rsidRPr="00DF7DCD">
                    <w:rPr>
                      <w:rFonts w:asciiTheme="minorHAnsi" w:eastAsia="Times New Roman" w:hAnsiTheme="minorHAnsi" w:cs="Calibri"/>
                      <w:sz w:val="20"/>
                      <w:szCs w:val="20"/>
                      <w:u w:val="single"/>
                    </w:rPr>
                    <w:t>NYS Corporation Tax Laws and Regulations</w:t>
                  </w:r>
                </w:p>
              </w:tc>
              <w:tc>
                <w:tcPr>
                  <w:tcW w:w="737"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165</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682</w:t>
                  </w:r>
                </w:p>
              </w:tc>
              <w:tc>
                <w:tcPr>
                  <w:tcW w:w="733"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204</w:t>
                  </w:r>
                </w:p>
              </w:tc>
              <w:tc>
                <w:tcPr>
                  <w:tcW w:w="616"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735</w:t>
                  </w:r>
                </w:p>
              </w:tc>
              <w:tc>
                <w:tcPr>
                  <w:tcW w:w="810"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149</w:t>
                  </w:r>
                </w:p>
              </w:tc>
              <w:tc>
                <w:tcPr>
                  <w:tcW w:w="72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705</w:t>
                  </w:r>
                </w:p>
              </w:tc>
              <w:tc>
                <w:tcPr>
                  <w:tcW w:w="733"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133</w:t>
                  </w:r>
                </w:p>
              </w:tc>
              <w:tc>
                <w:tcPr>
                  <w:tcW w:w="707"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677</w:t>
                  </w:r>
                </w:p>
              </w:tc>
              <w:tc>
                <w:tcPr>
                  <w:tcW w:w="810"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127</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675</w:t>
                  </w:r>
                </w:p>
              </w:tc>
            </w:tr>
            <w:tr w:rsidR="007475D6" w:rsidRPr="00DF7DCD" w:rsidTr="007475D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hideMark/>
                </w:tcPr>
                <w:p w:rsidR="00DF7DCD" w:rsidRPr="00DF7DCD" w:rsidRDefault="00DF7DCD" w:rsidP="00DF7DCD">
                  <w:pPr>
                    <w:rPr>
                      <w:rFonts w:asciiTheme="minorHAnsi" w:eastAsia="Times New Roman" w:hAnsiTheme="minorHAnsi" w:cs="Calibri"/>
                      <w:sz w:val="20"/>
                      <w:szCs w:val="20"/>
                      <w:u w:val="single"/>
                    </w:rPr>
                  </w:pPr>
                </w:p>
              </w:tc>
              <w:tc>
                <w:tcPr>
                  <w:tcW w:w="737"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33"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16"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810"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2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33" w:type="dxa"/>
                  <w:noWrap/>
                  <w:hideMark/>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07"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810" w:type="dxa"/>
                  <w:noWrap/>
                  <w:hideMark/>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r>
            <w:tr w:rsidR="00DF7DCD" w:rsidRPr="00DF7DCD" w:rsidTr="007475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hideMark/>
                </w:tcPr>
                <w:p w:rsidR="00DF7DCD" w:rsidRPr="00DF7DCD" w:rsidRDefault="00DF7DCD" w:rsidP="00DF7DCD">
                  <w:pPr>
                    <w:rPr>
                      <w:rFonts w:asciiTheme="minorHAnsi" w:eastAsia="Times New Roman" w:hAnsiTheme="minorHAnsi" w:cs="Calibri"/>
                      <w:sz w:val="20"/>
                      <w:szCs w:val="20"/>
                      <w:u w:val="single"/>
                    </w:rPr>
                  </w:pPr>
                  <w:r w:rsidRPr="00DF7DCD">
                    <w:rPr>
                      <w:rFonts w:asciiTheme="minorHAnsi" w:eastAsia="Times New Roman" w:hAnsiTheme="minorHAnsi" w:cs="Calibri"/>
                      <w:sz w:val="20"/>
                      <w:szCs w:val="20"/>
                      <w:u w:val="single"/>
                    </w:rPr>
                    <w:t>NYS Personal Income Tax Law and  Regulations</w:t>
                  </w:r>
                </w:p>
              </w:tc>
              <w:tc>
                <w:tcPr>
                  <w:tcW w:w="737"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174</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1,301</w:t>
                  </w:r>
                </w:p>
              </w:tc>
              <w:tc>
                <w:tcPr>
                  <w:tcW w:w="733"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164</w:t>
                  </w:r>
                </w:p>
              </w:tc>
              <w:tc>
                <w:tcPr>
                  <w:tcW w:w="616"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1,352</w:t>
                  </w:r>
                </w:p>
              </w:tc>
              <w:tc>
                <w:tcPr>
                  <w:tcW w:w="810"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118</w:t>
                  </w:r>
                </w:p>
              </w:tc>
              <w:tc>
                <w:tcPr>
                  <w:tcW w:w="72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1,301</w:t>
                  </w:r>
                </w:p>
              </w:tc>
              <w:tc>
                <w:tcPr>
                  <w:tcW w:w="733"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128</w:t>
                  </w:r>
                </w:p>
              </w:tc>
              <w:tc>
                <w:tcPr>
                  <w:tcW w:w="707"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1,204</w:t>
                  </w:r>
                </w:p>
              </w:tc>
              <w:tc>
                <w:tcPr>
                  <w:tcW w:w="810"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144</w:t>
                  </w:r>
                </w:p>
              </w:tc>
              <w:tc>
                <w:tcPr>
                  <w:tcW w:w="630"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1,208</w:t>
                  </w:r>
                </w:p>
              </w:tc>
            </w:tr>
            <w:tr w:rsidR="007475D6" w:rsidRPr="00DF7DCD" w:rsidTr="007475D6">
              <w:trPr>
                <w:cnfStyle w:val="000000010000" w:firstRow="0" w:lastRow="0" w:firstColumn="0" w:lastColumn="0" w:oddVBand="0" w:evenVBand="0" w:oddHBand="0" w:evenHBand="1"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tcPr>
                <w:p w:rsidR="00DF7DCD" w:rsidRPr="00DF7DCD" w:rsidRDefault="00DF7DCD" w:rsidP="00DF7DCD">
                  <w:pPr>
                    <w:rPr>
                      <w:rFonts w:asciiTheme="minorHAnsi" w:eastAsia="Times New Roman" w:hAnsiTheme="minorHAnsi" w:cs="Calibri"/>
                      <w:sz w:val="20"/>
                      <w:szCs w:val="20"/>
                      <w:u w:val="single"/>
                    </w:rPr>
                  </w:pPr>
                </w:p>
              </w:tc>
              <w:tc>
                <w:tcPr>
                  <w:tcW w:w="737"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33"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16"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810"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2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33"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707"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810" w:type="dxa"/>
                  <w:noWrap/>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c>
                <w:tcPr>
                  <w:tcW w:w="630" w:type="dxa"/>
                </w:tcPr>
                <w:p w:rsidR="00DF7DCD" w:rsidRPr="00DF7DCD" w:rsidRDefault="00DF7DCD" w:rsidP="00DF7DCD">
                  <w:pPr>
                    <w:jc w:val="cente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Calibri"/>
                      <w:sz w:val="20"/>
                      <w:szCs w:val="20"/>
                    </w:rPr>
                  </w:pPr>
                </w:p>
              </w:tc>
            </w:tr>
            <w:tr w:rsidR="00DF7DCD" w:rsidRPr="00DF7DCD" w:rsidTr="007475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21" w:type="dxa"/>
                  <w:noWrap/>
                  <w:hideMark/>
                </w:tcPr>
                <w:p w:rsidR="00DF7DCD" w:rsidRPr="00B6427C" w:rsidRDefault="00DF7DCD" w:rsidP="00DF7DCD">
                  <w:pPr>
                    <w:rPr>
                      <w:rFonts w:asciiTheme="minorHAnsi" w:eastAsia="Times New Roman" w:hAnsiTheme="minorHAnsi" w:cs="Calibri"/>
                      <w:color w:val="FF0000"/>
                      <w:sz w:val="20"/>
                      <w:szCs w:val="20"/>
                      <w:u w:val="single"/>
                    </w:rPr>
                  </w:pPr>
                  <w:r w:rsidRPr="00DF7DCD">
                    <w:rPr>
                      <w:rFonts w:asciiTheme="minorHAnsi" w:eastAsia="Times New Roman" w:hAnsiTheme="minorHAnsi" w:cs="Calibri"/>
                      <w:sz w:val="20"/>
                      <w:szCs w:val="20"/>
                      <w:u w:val="single"/>
                    </w:rPr>
                    <w:t>NYS Sales and Use Tax Law and Regulations</w:t>
                  </w:r>
                  <w:r w:rsidR="00B6427C">
                    <w:rPr>
                      <w:rFonts w:asciiTheme="minorHAnsi" w:eastAsia="Times New Roman" w:hAnsiTheme="minorHAnsi" w:cs="Calibri"/>
                      <w:color w:val="FF0000"/>
                      <w:sz w:val="20"/>
                      <w:szCs w:val="20"/>
                      <w:u w:val="single"/>
                    </w:rPr>
                    <w:t>*</w:t>
                  </w:r>
                </w:p>
              </w:tc>
              <w:tc>
                <w:tcPr>
                  <w:tcW w:w="737"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191</w:t>
                  </w:r>
                </w:p>
              </w:tc>
              <w:tc>
                <w:tcPr>
                  <w:tcW w:w="630" w:type="dxa"/>
                </w:tcPr>
                <w:p w:rsidR="007475D6"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trike/>
                      <w:color w:val="0070C0"/>
                      <w:sz w:val="20"/>
                      <w:szCs w:val="20"/>
                    </w:rPr>
                  </w:pPr>
                  <w:r w:rsidRPr="0002720A">
                    <w:rPr>
                      <w:rFonts w:asciiTheme="minorHAnsi" w:eastAsia="Times New Roman" w:hAnsiTheme="minorHAnsi" w:cs="Calibri"/>
                      <w:strike/>
                      <w:color w:val="0070C0"/>
                      <w:sz w:val="20"/>
                      <w:szCs w:val="20"/>
                    </w:rPr>
                    <w:t>1,624</w:t>
                  </w:r>
                </w:p>
                <w:p w:rsidR="0002720A" w:rsidRPr="0002720A" w:rsidRDefault="0002720A"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FF0000"/>
                      <w:sz w:val="20"/>
                      <w:szCs w:val="20"/>
                    </w:rPr>
                  </w:pPr>
                  <w:r>
                    <w:rPr>
                      <w:rFonts w:asciiTheme="minorHAnsi" w:eastAsia="Times New Roman" w:hAnsiTheme="minorHAnsi" w:cs="Calibri"/>
                      <w:color w:val="FF0000"/>
                      <w:sz w:val="20"/>
                      <w:szCs w:val="20"/>
                    </w:rPr>
                    <w:t>908</w:t>
                  </w:r>
                </w:p>
              </w:tc>
              <w:tc>
                <w:tcPr>
                  <w:tcW w:w="733" w:type="dxa"/>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201</w:t>
                  </w:r>
                </w:p>
              </w:tc>
              <w:tc>
                <w:tcPr>
                  <w:tcW w:w="616" w:type="dxa"/>
                  <w:noWrap/>
                </w:tcPr>
                <w:p w:rsidR="007475D6"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trike/>
                      <w:color w:val="0070C0"/>
                      <w:sz w:val="20"/>
                      <w:szCs w:val="20"/>
                    </w:rPr>
                  </w:pPr>
                  <w:r w:rsidRPr="0002720A">
                    <w:rPr>
                      <w:rFonts w:asciiTheme="minorHAnsi" w:eastAsia="Times New Roman" w:hAnsiTheme="minorHAnsi" w:cs="Calibri"/>
                      <w:strike/>
                      <w:color w:val="0070C0"/>
                      <w:sz w:val="20"/>
                      <w:szCs w:val="20"/>
                    </w:rPr>
                    <w:t>1,605</w:t>
                  </w:r>
                </w:p>
                <w:p w:rsidR="0002720A" w:rsidRPr="0002720A" w:rsidRDefault="0002720A"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FF0000"/>
                      <w:sz w:val="20"/>
                      <w:szCs w:val="20"/>
                    </w:rPr>
                  </w:pPr>
                  <w:r>
                    <w:rPr>
                      <w:rFonts w:asciiTheme="minorHAnsi" w:eastAsia="Times New Roman" w:hAnsiTheme="minorHAnsi" w:cs="Calibri"/>
                      <w:color w:val="FF0000"/>
                      <w:sz w:val="20"/>
                      <w:szCs w:val="20"/>
                    </w:rPr>
                    <w:t>895</w:t>
                  </w:r>
                </w:p>
              </w:tc>
              <w:tc>
                <w:tcPr>
                  <w:tcW w:w="810" w:type="dxa"/>
                  <w:noWrap/>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178</w:t>
                  </w:r>
                </w:p>
              </w:tc>
              <w:tc>
                <w:tcPr>
                  <w:tcW w:w="720" w:type="dxa"/>
                </w:tcPr>
                <w:p w:rsidR="007475D6"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trike/>
                      <w:color w:val="0070C0"/>
                      <w:sz w:val="20"/>
                      <w:szCs w:val="20"/>
                    </w:rPr>
                  </w:pPr>
                  <w:r w:rsidRPr="0002720A">
                    <w:rPr>
                      <w:rFonts w:asciiTheme="minorHAnsi" w:eastAsia="Times New Roman" w:hAnsiTheme="minorHAnsi" w:cs="Calibri"/>
                      <w:strike/>
                      <w:color w:val="0070C0"/>
                      <w:sz w:val="20"/>
                      <w:szCs w:val="20"/>
                    </w:rPr>
                    <w:t>1,519</w:t>
                  </w:r>
                </w:p>
                <w:p w:rsidR="0002720A" w:rsidRPr="0002720A" w:rsidRDefault="0002720A"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FF0000"/>
                      <w:sz w:val="20"/>
                      <w:szCs w:val="20"/>
                    </w:rPr>
                  </w:pPr>
                  <w:r>
                    <w:rPr>
                      <w:rFonts w:asciiTheme="minorHAnsi" w:eastAsia="Times New Roman" w:hAnsiTheme="minorHAnsi" w:cs="Calibri"/>
                      <w:color w:val="FF0000"/>
                      <w:sz w:val="20"/>
                      <w:szCs w:val="20"/>
                    </w:rPr>
                    <w:t>879</w:t>
                  </w:r>
                </w:p>
              </w:tc>
              <w:tc>
                <w:tcPr>
                  <w:tcW w:w="733"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166</w:t>
                  </w:r>
                </w:p>
              </w:tc>
              <w:tc>
                <w:tcPr>
                  <w:tcW w:w="707" w:type="dxa"/>
                </w:tcPr>
                <w:p w:rsidR="007475D6"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trike/>
                      <w:color w:val="0070C0"/>
                      <w:sz w:val="20"/>
                      <w:szCs w:val="20"/>
                    </w:rPr>
                  </w:pPr>
                  <w:r w:rsidRPr="0002720A">
                    <w:rPr>
                      <w:rFonts w:asciiTheme="minorHAnsi" w:eastAsia="Times New Roman" w:hAnsiTheme="minorHAnsi" w:cs="Calibri"/>
                      <w:strike/>
                      <w:color w:val="0070C0"/>
                      <w:sz w:val="20"/>
                      <w:szCs w:val="20"/>
                    </w:rPr>
                    <w:t>1,520</w:t>
                  </w:r>
                </w:p>
                <w:p w:rsidR="0002720A" w:rsidRPr="0002720A" w:rsidRDefault="0002720A"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FF0000"/>
                      <w:sz w:val="20"/>
                      <w:szCs w:val="20"/>
                    </w:rPr>
                  </w:pPr>
                  <w:r>
                    <w:rPr>
                      <w:rFonts w:asciiTheme="minorHAnsi" w:eastAsia="Times New Roman" w:hAnsiTheme="minorHAnsi" w:cs="Calibri"/>
                      <w:color w:val="FF0000"/>
                      <w:sz w:val="20"/>
                      <w:szCs w:val="20"/>
                    </w:rPr>
                    <w:t>855</w:t>
                  </w:r>
                </w:p>
              </w:tc>
              <w:tc>
                <w:tcPr>
                  <w:tcW w:w="810" w:type="dxa"/>
                  <w:noWrap/>
                  <w:hideMark/>
                </w:tcPr>
                <w:p w:rsidR="00DF7DCD" w:rsidRPr="00DF7DCD"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z w:val="20"/>
                      <w:szCs w:val="20"/>
                    </w:rPr>
                  </w:pPr>
                  <w:r w:rsidRPr="00DF7DCD">
                    <w:rPr>
                      <w:rFonts w:asciiTheme="minorHAnsi" w:eastAsia="Times New Roman" w:hAnsiTheme="minorHAnsi" w:cs="Calibri"/>
                      <w:sz w:val="20"/>
                      <w:szCs w:val="20"/>
                    </w:rPr>
                    <w:t>176</w:t>
                  </w:r>
                </w:p>
              </w:tc>
              <w:tc>
                <w:tcPr>
                  <w:tcW w:w="630" w:type="dxa"/>
                </w:tcPr>
                <w:p w:rsidR="007475D6" w:rsidRDefault="00DF7DCD"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strike/>
                      <w:color w:val="0070C0"/>
                      <w:sz w:val="20"/>
                      <w:szCs w:val="20"/>
                    </w:rPr>
                  </w:pPr>
                  <w:r w:rsidRPr="0002720A">
                    <w:rPr>
                      <w:rFonts w:asciiTheme="minorHAnsi" w:eastAsia="Times New Roman" w:hAnsiTheme="minorHAnsi" w:cs="Calibri"/>
                      <w:strike/>
                      <w:color w:val="0070C0"/>
                      <w:sz w:val="20"/>
                      <w:szCs w:val="20"/>
                    </w:rPr>
                    <w:t>1,517</w:t>
                  </w:r>
                </w:p>
                <w:p w:rsidR="0002720A" w:rsidRPr="0002720A" w:rsidRDefault="0002720A" w:rsidP="00DF7DCD">
                  <w:pPr>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Calibri"/>
                      <w:color w:val="FF0000"/>
                      <w:sz w:val="20"/>
                      <w:szCs w:val="20"/>
                    </w:rPr>
                  </w:pPr>
                  <w:r>
                    <w:rPr>
                      <w:rFonts w:asciiTheme="minorHAnsi" w:eastAsia="Times New Roman" w:hAnsiTheme="minorHAnsi" w:cs="Calibri"/>
                      <w:color w:val="FF0000"/>
                      <w:sz w:val="20"/>
                      <w:szCs w:val="20"/>
                    </w:rPr>
                    <w:t>874</w:t>
                  </w:r>
                </w:p>
              </w:tc>
            </w:tr>
          </w:tbl>
          <w:p w:rsidR="00DF7DCD" w:rsidRPr="00DF7DCD" w:rsidRDefault="00DF7DCD" w:rsidP="00DF7DCD">
            <w:pPr>
              <w:spacing w:after="0" w:line="240" w:lineRule="auto"/>
              <w:rPr>
                <w:rFonts w:asciiTheme="minorHAnsi" w:eastAsia="Times New Roman" w:hAnsiTheme="minorHAnsi" w:cs="Calibri"/>
                <w:b/>
                <w:bCs/>
                <w:sz w:val="16"/>
                <w:szCs w:val="16"/>
              </w:rPr>
            </w:pPr>
          </w:p>
        </w:tc>
        <w:tc>
          <w:tcPr>
            <w:tcW w:w="172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b/>
                <w:bCs/>
                <w:color w:val="000000"/>
              </w:rPr>
            </w:pPr>
          </w:p>
        </w:tc>
        <w:tc>
          <w:tcPr>
            <w:tcW w:w="154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b/>
                <w:bCs/>
                <w:color w:val="000000"/>
              </w:rPr>
            </w:pPr>
          </w:p>
        </w:tc>
        <w:tc>
          <w:tcPr>
            <w:tcW w:w="158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b/>
                <w:bCs/>
                <w:color w:val="000000"/>
              </w:rPr>
            </w:pPr>
          </w:p>
        </w:tc>
        <w:tc>
          <w:tcPr>
            <w:tcW w:w="118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b/>
                <w:bCs/>
                <w:color w:val="000000"/>
              </w:rPr>
            </w:pPr>
          </w:p>
        </w:tc>
        <w:tc>
          <w:tcPr>
            <w:tcW w:w="1240" w:type="dxa"/>
            <w:tcBorders>
              <w:top w:val="nil"/>
              <w:left w:val="nil"/>
              <w:bottom w:val="nil"/>
              <w:right w:val="nil"/>
            </w:tcBorders>
            <w:shd w:val="clear" w:color="auto" w:fill="auto"/>
            <w:noWrap/>
            <w:vAlign w:val="bottom"/>
          </w:tcPr>
          <w:p w:rsidR="00DF7DCD" w:rsidRPr="00DF7DCD" w:rsidRDefault="00DF7DCD" w:rsidP="00DF7DCD">
            <w:pPr>
              <w:spacing w:after="0" w:line="240" w:lineRule="auto"/>
              <w:jc w:val="center"/>
              <w:rPr>
                <w:rFonts w:eastAsia="Times New Roman" w:cs="Calibri"/>
                <w:b/>
                <w:bCs/>
                <w:color w:val="000000"/>
              </w:rPr>
            </w:pPr>
          </w:p>
        </w:tc>
      </w:tr>
    </w:tbl>
    <w:p w:rsidR="00DF7DCD" w:rsidRDefault="00DF7DCD" w:rsidP="00DF7DCD">
      <w:pPr>
        <w:tabs>
          <w:tab w:val="center" w:pos="4680"/>
          <w:tab w:val="right" w:pos="9360"/>
        </w:tabs>
        <w:jc w:val="right"/>
      </w:pPr>
    </w:p>
    <w:p w:rsidR="00B6427C" w:rsidRPr="00B6427C" w:rsidRDefault="00B6427C" w:rsidP="00B6427C">
      <w:pPr>
        <w:tabs>
          <w:tab w:val="center" w:pos="4680"/>
          <w:tab w:val="right" w:pos="9360"/>
        </w:tabs>
        <w:rPr>
          <w:color w:val="FF0000"/>
        </w:rPr>
      </w:pPr>
      <w:r w:rsidRPr="00B6427C">
        <w:rPr>
          <w:color w:val="FF0000"/>
        </w:rPr>
        <w:t>*</w:t>
      </w:r>
      <w:r w:rsidR="00580797">
        <w:rPr>
          <w:color w:val="FF0000"/>
        </w:rPr>
        <w:t>Revised</w:t>
      </w:r>
      <w:r w:rsidRPr="00B6427C">
        <w:rPr>
          <w:color w:val="FF0000"/>
        </w:rPr>
        <w:t xml:space="preserve"> page count numbers reflect the total page counts</w:t>
      </w:r>
      <w:r w:rsidR="004A15BB">
        <w:rPr>
          <w:color w:val="FF0000"/>
        </w:rPr>
        <w:t xml:space="preserve"> less</w:t>
      </w:r>
      <w:r w:rsidR="004A15BB" w:rsidRPr="004A15BB">
        <w:rPr>
          <w:color w:val="FF0000"/>
        </w:rPr>
        <w:t xml:space="preserve"> </w:t>
      </w:r>
      <w:r w:rsidR="004A15BB" w:rsidRPr="00B6427C">
        <w:rPr>
          <w:color w:val="FF0000"/>
        </w:rPr>
        <w:t xml:space="preserve">TSBMs </w:t>
      </w:r>
      <w:r w:rsidR="004A15BB">
        <w:rPr>
          <w:color w:val="FF0000"/>
        </w:rPr>
        <w:t>pages</w:t>
      </w:r>
      <w:r w:rsidRPr="00B6427C">
        <w:rPr>
          <w:color w:val="FF0000"/>
        </w:rPr>
        <w:t>, as they are no</w:t>
      </w:r>
      <w:r w:rsidR="004A15BB">
        <w:rPr>
          <w:color w:val="FF0000"/>
        </w:rPr>
        <w:t>t</w:t>
      </w:r>
      <w:r w:rsidRPr="00B6427C">
        <w:rPr>
          <w:color w:val="FF0000"/>
        </w:rPr>
        <w:t xml:space="preserve"> </w:t>
      </w:r>
      <w:r w:rsidR="004A15BB">
        <w:rPr>
          <w:color w:val="FF0000"/>
        </w:rPr>
        <w:t>requested under this solicitation.</w:t>
      </w:r>
    </w:p>
    <w:p w:rsidR="00DF7DCD" w:rsidRDefault="00DF7DCD" w:rsidP="00DF7DCD">
      <w:pPr>
        <w:tabs>
          <w:tab w:val="center" w:pos="4680"/>
          <w:tab w:val="right" w:pos="9360"/>
        </w:tabs>
        <w:jc w:val="right"/>
      </w:pPr>
    </w:p>
    <w:p w:rsidR="00DF7DCD" w:rsidRDefault="00DF7DCD" w:rsidP="00DF7DCD">
      <w:pPr>
        <w:tabs>
          <w:tab w:val="center" w:pos="4680"/>
          <w:tab w:val="right" w:pos="9360"/>
        </w:tabs>
        <w:jc w:val="right"/>
      </w:pPr>
    </w:p>
    <w:p w:rsidR="00DF7DCD" w:rsidRDefault="00DF7DCD" w:rsidP="00DF7DCD">
      <w:pPr>
        <w:tabs>
          <w:tab w:val="center" w:pos="4680"/>
          <w:tab w:val="right" w:pos="9360"/>
        </w:tabs>
        <w:jc w:val="right"/>
      </w:pPr>
    </w:p>
    <w:p w:rsidR="0032783E" w:rsidRDefault="00B6427C" w:rsidP="00B6427C">
      <w:pPr>
        <w:tabs>
          <w:tab w:val="center" w:pos="4680"/>
          <w:tab w:val="right" w:pos="9360"/>
        </w:tabs>
        <w:jc w:val="right"/>
      </w:pPr>
      <w:r w:rsidRPr="00B6427C">
        <w:t xml:space="preserve">Page </w:t>
      </w:r>
      <w:r w:rsidR="00EB37DE">
        <w:rPr>
          <w:b/>
          <w:sz w:val="24"/>
          <w:szCs w:val="24"/>
        </w:rPr>
        <w:t>43</w:t>
      </w:r>
      <w:r w:rsidRPr="00B6427C">
        <w:t xml:space="preserve"> of </w:t>
      </w:r>
      <w:r w:rsidR="00693BAF" w:rsidRPr="00693BAF">
        <w:rPr>
          <w:b/>
        </w:rPr>
        <w:t>95</w:t>
      </w:r>
    </w:p>
    <w:sectPr w:rsidR="0032783E" w:rsidSect="00DF7DCD">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867" w:rsidRDefault="003A2867" w:rsidP="0095225D">
      <w:pPr>
        <w:spacing w:after="0" w:line="240" w:lineRule="auto"/>
      </w:pPr>
      <w:r>
        <w:separator/>
      </w:r>
    </w:p>
  </w:endnote>
  <w:endnote w:type="continuationSeparator" w:id="0">
    <w:p w:rsidR="003A2867" w:rsidRDefault="003A2867" w:rsidP="0095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oxima Nova Rg">
    <w:altName w:val="Candara"/>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867" w:rsidRDefault="003A2867" w:rsidP="0095225D">
      <w:pPr>
        <w:spacing w:after="0" w:line="240" w:lineRule="auto"/>
      </w:pPr>
      <w:r>
        <w:separator/>
      </w:r>
    </w:p>
  </w:footnote>
  <w:footnote w:type="continuationSeparator" w:id="0">
    <w:p w:rsidR="003A2867" w:rsidRDefault="003A2867" w:rsidP="009522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67" w:rsidRPr="0095225D" w:rsidRDefault="003A2867" w:rsidP="009278EA">
    <w:pPr>
      <w:tabs>
        <w:tab w:val="left" w:pos="4050"/>
        <w:tab w:val="center" w:pos="4680"/>
        <w:tab w:val="right" w:pos="9360"/>
      </w:tabs>
      <w:spacing w:after="0"/>
      <w:jc w:val="center"/>
    </w:pPr>
    <w:r w:rsidRPr="0095225D">
      <w:t>New York State Department of Taxation and Finance</w:t>
    </w:r>
  </w:p>
  <w:p w:rsidR="003A2867" w:rsidRPr="0095225D" w:rsidRDefault="003A2867" w:rsidP="009278EA">
    <w:pPr>
      <w:tabs>
        <w:tab w:val="left" w:pos="4050"/>
        <w:tab w:val="center" w:pos="4680"/>
        <w:tab w:val="right" w:pos="9360"/>
      </w:tabs>
      <w:spacing w:after="0"/>
      <w:jc w:val="center"/>
    </w:pPr>
    <w:r w:rsidRPr="0095225D">
      <w:t>Invitation for Bids #16-200</w:t>
    </w:r>
  </w:p>
  <w:p w:rsidR="003A2867" w:rsidRPr="0095225D" w:rsidRDefault="003A2867" w:rsidP="009278EA">
    <w:pPr>
      <w:pBdr>
        <w:bottom w:val="single" w:sz="4" w:space="1" w:color="auto"/>
      </w:pBdr>
      <w:tabs>
        <w:tab w:val="left" w:pos="4050"/>
        <w:tab w:val="center" w:pos="4680"/>
        <w:tab w:val="right" w:pos="9360"/>
      </w:tabs>
      <w:spacing w:after="0"/>
      <w:jc w:val="center"/>
    </w:pPr>
    <w:r w:rsidRPr="0095225D">
      <w:t>Tax Law Handbooks and Electronic Online Tax and Accounting Research Database Service</w:t>
    </w:r>
  </w:p>
  <w:p w:rsidR="003A2867" w:rsidRDefault="003A2867" w:rsidP="009278EA">
    <w:pPr>
      <w:pStyle w:val="Header"/>
      <w:tabs>
        <w:tab w:val="left" w:pos="40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867" w:rsidRPr="0095225D" w:rsidRDefault="003A2867" w:rsidP="009278EA">
    <w:pPr>
      <w:tabs>
        <w:tab w:val="center" w:pos="4680"/>
        <w:tab w:val="right" w:pos="9360"/>
      </w:tabs>
      <w:spacing w:after="0"/>
      <w:jc w:val="center"/>
    </w:pPr>
    <w:r w:rsidRPr="0095225D">
      <w:t>New York State Department of Taxation and Finance</w:t>
    </w:r>
  </w:p>
  <w:p w:rsidR="003A2867" w:rsidRPr="0095225D" w:rsidRDefault="003A2867" w:rsidP="009278EA">
    <w:pPr>
      <w:tabs>
        <w:tab w:val="center" w:pos="4680"/>
        <w:tab w:val="right" w:pos="9360"/>
      </w:tabs>
      <w:spacing w:after="0"/>
      <w:jc w:val="center"/>
    </w:pPr>
    <w:r w:rsidRPr="0095225D">
      <w:t>Invitation for Bids #16-200</w:t>
    </w:r>
  </w:p>
  <w:p w:rsidR="003A2867" w:rsidRPr="0095225D" w:rsidRDefault="003A2867" w:rsidP="009278EA">
    <w:pPr>
      <w:pBdr>
        <w:bottom w:val="single" w:sz="4" w:space="1" w:color="auto"/>
      </w:pBdr>
      <w:tabs>
        <w:tab w:val="center" w:pos="4680"/>
        <w:tab w:val="right" w:pos="9360"/>
      </w:tabs>
      <w:spacing w:after="0"/>
      <w:jc w:val="center"/>
    </w:pPr>
    <w:r w:rsidRPr="0095225D">
      <w:t>Tax Law Handbooks and Electronic Online Tax and Accounting Research Database Service</w:t>
    </w:r>
  </w:p>
  <w:p w:rsidR="003A2867" w:rsidRDefault="003A2867" w:rsidP="009278EA">
    <w:pPr>
      <w:pStyle w:val="Header"/>
    </w:pPr>
  </w:p>
  <w:p w:rsidR="003A2867" w:rsidRDefault="003A28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5F7D"/>
    <w:multiLevelType w:val="hybridMultilevel"/>
    <w:tmpl w:val="1FC0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16AA9"/>
    <w:multiLevelType w:val="hybridMultilevel"/>
    <w:tmpl w:val="61DA59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231D1"/>
    <w:multiLevelType w:val="hybridMultilevel"/>
    <w:tmpl w:val="E90CF81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73EE16CC">
      <w:start w:val="1"/>
      <w:numFmt w:val="upperLetter"/>
      <w:lvlText w:val="%3."/>
      <w:lvlJc w:val="left"/>
      <w:pPr>
        <w:ind w:left="4140" w:hanging="360"/>
      </w:pPr>
      <w:rPr>
        <w:rFonts w:hint="default"/>
        <w:sz w:val="22"/>
        <w:szCs w:val="22"/>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8AB50DF"/>
    <w:multiLevelType w:val="hybridMultilevel"/>
    <w:tmpl w:val="7020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2040D"/>
    <w:multiLevelType w:val="hybridMultilevel"/>
    <w:tmpl w:val="34C4A82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6812B54"/>
    <w:multiLevelType w:val="hybridMultilevel"/>
    <w:tmpl w:val="D84C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F3AE8"/>
    <w:multiLevelType w:val="hybridMultilevel"/>
    <w:tmpl w:val="2E12D6A4"/>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40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nsid w:val="3A3377EA"/>
    <w:multiLevelType w:val="hybridMultilevel"/>
    <w:tmpl w:val="1632E7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3C973F76"/>
    <w:multiLevelType w:val="hybridMultilevel"/>
    <w:tmpl w:val="932C88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D9407C"/>
    <w:multiLevelType w:val="hybridMultilevel"/>
    <w:tmpl w:val="168AFD6E"/>
    <w:lvl w:ilvl="0" w:tplc="04090003">
      <w:start w:val="1"/>
      <w:numFmt w:val="bullet"/>
      <w:lvlText w:val="o"/>
      <w:lvlJc w:val="left"/>
      <w:pPr>
        <w:ind w:left="4320" w:hanging="360"/>
      </w:pPr>
      <w:rPr>
        <w:rFonts w:ascii="Courier New" w:hAnsi="Courier New" w:cs="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nsid w:val="438C0EE2"/>
    <w:multiLevelType w:val="hybridMultilevel"/>
    <w:tmpl w:val="315015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1B7C97"/>
    <w:multiLevelType w:val="hybridMultilevel"/>
    <w:tmpl w:val="FCB090D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3">
    <w:nsid w:val="486347B4"/>
    <w:multiLevelType w:val="hybridMultilevel"/>
    <w:tmpl w:val="12D4BE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574A6F71"/>
    <w:multiLevelType w:val="hybridMultilevel"/>
    <w:tmpl w:val="6D12AB5A"/>
    <w:lvl w:ilvl="0" w:tplc="F2E0FA5C">
      <w:start w:val="1"/>
      <w:numFmt w:val="decimal"/>
      <w:lvlText w:val="%1."/>
      <w:lvlJc w:val="left"/>
      <w:pPr>
        <w:ind w:left="2250" w:hanging="360"/>
      </w:pPr>
      <w:rPr>
        <w:rFonts w:hint="default"/>
        <w:u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nsid w:val="68F55757"/>
    <w:multiLevelType w:val="hybridMultilevel"/>
    <w:tmpl w:val="A7D4F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8C30D6"/>
    <w:multiLevelType w:val="hybridMultilevel"/>
    <w:tmpl w:val="9C840ED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7940649C"/>
    <w:multiLevelType w:val="hybridMultilevel"/>
    <w:tmpl w:val="1C94A70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9"/>
  </w:num>
  <w:num w:numId="2">
    <w:abstractNumId w:val="11"/>
  </w:num>
  <w:num w:numId="3">
    <w:abstractNumId w:val="2"/>
  </w:num>
  <w:num w:numId="4">
    <w:abstractNumId w:val="0"/>
  </w:num>
  <w:num w:numId="5">
    <w:abstractNumId w:val="16"/>
  </w:num>
  <w:num w:numId="6">
    <w:abstractNumId w:val="13"/>
  </w:num>
  <w:num w:numId="7">
    <w:abstractNumId w:val="8"/>
  </w:num>
  <w:num w:numId="8">
    <w:abstractNumId w:val="14"/>
  </w:num>
  <w:num w:numId="9">
    <w:abstractNumId w:val="3"/>
  </w:num>
  <w:num w:numId="10">
    <w:abstractNumId w:val="1"/>
  </w:num>
  <w:num w:numId="11">
    <w:abstractNumId w:val="5"/>
  </w:num>
  <w:num w:numId="12">
    <w:abstractNumId w:val="15"/>
  </w:num>
  <w:num w:numId="13">
    <w:abstractNumId w:val="12"/>
  </w:num>
  <w:num w:numId="14">
    <w:abstractNumId w:val="17"/>
  </w:num>
  <w:num w:numId="15">
    <w:abstractNumId w:val="4"/>
  </w:num>
  <w:num w:numId="16">
    <w:abstractNumId w:val="10"/>
  </w:num>
  <w:num w:numId="17">
    <w:abstractNumId w:val="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20"/>
  <w:characterSpacingControl w:val="doNotCompress"/>
  <w:hdrShapeDefaults>
    <o:shapedefaults v:ext="edit" spidmax="16385"/>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1F2"/>
    <w:rsid w:val="00023875"/>
    <w:rsid w:val="0002720A"/>
    <w:rsid w:val="00057E70"/>
    <w:rsid w:val="00086E87"/>
    <w:rsid w:val="000C0590"/>
    <w:rsid w:val="00116CAD"/>
    <w:rsid w:val="00131175"/>
    <w:rsid w:val="00153FD1"/>
    <w:rsid w:val="001B5143"/>
    <w:rsid w:val="00216629"/>
    <w:rsid w:val="002246B7"/>
    <w:rsid w:val="002270DA"/>
    <w:rsid w:val="00251484"/>
    <w:rsid w:val="002D0EB6"/>
    <w:rsid w:val="00314B3B"/>
    <w:rsid w:val="00322D32"/>
    <w:rsid w:val="0032783E"/>
    <w:rsid w:val="003362C0"/>
    <w:rsid w:val="00347DB4"/>
    <w:rsid w:val="003854C5"/>
    <w:rsid w:val="003A2867"/>
    <w:rsid w:val="0044093E"/>
    <w:rsid w:val="00464083"/>
    <w:rsid w:val="004A15BB"/>
    <w:rsid w:val="004A39BC"/>
    <w:rsid w:val="004C0433"/>
    <w:rsid w:val="004E601E"/>
    <w:rsid w:val="004F0CB8"/>
    <w:rsid w:val="00547E5E"/>
    <w:rsid w:val="00571419"/>
    <w:rsid w:val="00580797"/>
    <w:rsid w:val="005A7681"/>
    <w:rsid w:val="005D19B7"/>
    <w:rsid w:val="005E6E9F"/>
    <w:rsid w:val="00633F26"/>
    <w:rsid w:val="00680438"/>
    <w:rsid w:val="00684037"/>
    <w:rsid w:val="00693BAF"/>
    <w:rsid w:val="00717659"/>
    <w:rsid w:val="00743B1D"/>
    <w:rsid w:val="007475D6"/>
    <w:rsid w:val="007C41BA"/>
    <w:rsid w:val="0082589B"/>
    <w:rsid w:val="0082730E"/>
    <w:rsid w:val="00853BF9"/>
    <w:rsid w:val="00884DE0"/>
    <w:rsid w:val="00892042"/>
    <w:rsid w:val="008B5F3F"/>
    <w:rsid w:val="008C29B6"/>
    <w:rsid w:val="008C2E19"/>
    <w:rsid w:val="008F589B"/>
    <w:rsid w:val="009278EA"/>
    <w:rsid w:val="0095225D"/>
    <w:rsid w:val="009720F6"/>
    <w:rsid w:val="0099304D"/>
    <w:rsid w:val="009B40EE"/>
    <w:rsid w:val="009D480A"/>
    <w:rsid w:val="009D7EFF"/>
    <w:rsid w:val="00A418E0"/>
    <w:rsid w:val="00A42670"/>
    <w:rsid w:val="00A93EC7"/>
    <w:rsid w:val="00B04F86"/>
    <w:rsid w:val="00B13EA2"/>
    <w:rsid w:val="00B6427C"/>
    <w:rsid w:val="00B75681"/>
    <w:rsid w:val="00B9330E"/>
    <w:rsid w:val="00BA778B"/>
    <w:rsid w:val="00BD063C"/>
    <w:rsid w:val="00BF3363"/>
    <w:rsid w:val="00C56638"/>
    <w:rsid w:val="00CF3B2C"/>
    <w:rsid w:val="00DE01E9"/>
    <w:rsid w:val="00DF7DCD"/>
    <w:rsid w:val="00E0288C"/>
    <w:rsid w:val="00E22425"/>
    <w:rsid w:val="00E47107"/>
    <w:rsid w:val="00E6063F"/>
    <w:rsid w:val="00E8401F"/>
    <w:rsid w:val="00E94038"/>
    <w:rsid w:val="00EB37DE"/>
    <w:rsid w:val="00ED61F2"/>
    <w:rsid w:val="00EF42D9"/>
    <w:rsid w:val="00F143ED"/>
    <w:rsid w:val="00FC4471"/>
    <w:rsid w:val="00FD1556"/>
    <w:rsid w:val="00FF1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1F2"/>
    <w:rPr>
      <w:rFonts w:ascii="Tahoma" w:eastAsia="Calibri" w:hAnsi="Tahoma" w:cs="Tahoma"/>
      <w:sz w:val="16"/>
      <w:szCs w:val="16"/>
    </w:rPr>
  </w:style>
  <w:style w:type="paragraph" w:styleId="Header">
    <w:name w:val="header"/>
    <w:basedOn w:val="Normal"/>
    <w:link w:val="HeaderChar"/>
    <w:uiPriority w:val="99"/>
    <w:unhideWhenUsed/>
    <w:rsid w:val="00952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25D"/>
    <w:rPr>
      <w:rFonts w:ascii="Calibri" w:eastAsia="Calibri" w:hAnsi="Calibri" w:cs="Times New Roman"/>
    </w:rPr>
  </w:style>
  <w:style w:type="paragraph" w:styleId="Footer">
    <w:name w:val="footer"/>
    <w:basedOn w:val="Normal"/>
    <w:link w:val="FooterChar"/>
    <w:uiPriority w:val="99"/>
    <w:unhideWhenUsed/>
    <w:rsid w:val="00952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25D"/>
    <w:rPr>
      <w:rFonts w:ascii="Calibri" w:eastAsia="Calibri" w:hAnsi="Calibri" w:cs="Times New Roman"/>
    </w:rPr>
  </w:style>
  <w:style w:type="character" w:styleId="CommentReference">
    <w:name w:val="annotation reference"/>
    <w:basedOn w:val="DefaultParagraphFont"/>
    <w:uiPriority w:val="99"/>
    <w:unhideWhenUsed/>
    <w:rsid w:val="00DF7DCD"/>
    <w:rPr>
      <w:sz w:val="16"/>
      <w:szCs w:val="16"/>
    </w:rPr>
  </w:style>
  <w:style w:type="paragraph" w:styleId="CommentText">
    <w:name w:val="annotation text"/>
    <w:basedOn w:val="Normal"/>
    <w:link w:val="CommentTextChar"/>
    <w:uiPriority w:val="99"/>
    <w:unhideWhenUsed/>
    <w:rsid w:val="00DF7DCD"/>
    <w:pPr>
      <w:spacing w:line="240" w:lineRule="auto"/>
    </w:pPr>
    <w:rPr>
      <w:sz w:val="20"/>
      <w:szCs w:val="20"/>
    </w:rPr>
  </w:style>
  <w:style w:type="character" w:customStyle="1" w:styleId="CommentTextChar">
    <w:name w:val="Comment Text Char"/>
    <w:basedOn w:val="DefaultParagraphFont"/>
    <w:link w:val="CommentText"/>
    <w:uiPriority w:val="99"/>
    <w:rsid w:val="00DF7D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DF7DCD"/>
    <w:rPr>
      <w:b/>
      <w:bCs/>
    </w:rPr>
  </w:style>
  <w:style w:type="character" w:customStyle="1" w:styleId="CommentSubjectChar">
    <w:name w:val="Comment Subject Char"/>
    <w:basedOn w:val="CommentTextChar"/>
    <w:link w:val="CommentSubject"/>
    <w:uiPriority w:val="99"/>
    <w:rsid w:val="00DF7DCD"/>
    <w:rPr>
      <w:rFonts w:ascii="Calibri" w:eastAsia="Calibri" w:hAnsi="Calibri" w:cs="Times New Roman"/>
      <w:b/>
      <w:bCs/>
      <w:sz w:val="20"/>
      <w:szCs w:val="20"/>
    </w:rPr>
  </w:style>
  <w:style w:type="table" w:styleId="LightGrid">
    <w:name w:val="Light Grid"/>
    <w:basedOn w:val="TableNormal"/>
    <w:uiPriority w:val="62"/>
    <w:rsid w:val="00DF7DCD"/>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314B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6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6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1F2"/>
    <w:rPr>
      <w:rFonts w:ascii="Tahoma" w:eastAsia="Calibri" w:hAnsi="Tahoma" w:cs="Tahoma"/>
      <w:sz w:val="16"/>
      <w:szCs w:val="16"/>
    </w:rPr>
  </w:style>
  <w:style w:type="paragraph" w:styleId="Header">
    <w:name w:val="header"/>
    <w:basedOn w:val="Normal"/>
    <w:link w:val="HeaderChar"/>
    <w:uiPriority w:val="99"/>
    <w:unhideWhenUsed/>
    <w:rsid w:val="00952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25D"/>
    <w:rPr>
      <w:rFonts w:ascii="Calibri" w:eastAsia="Calibri" w:hAnsi="Calibri" w:cs="Times New Roman"/>
    </w:rPr>
  </w:style>
  <w:style w:type="paragraph" w:styleId="Footer">
    <w:name w:val="footer"/>
    <w:basedOn w:val="Normal"/>
    <w:link w:val="FooterChar"/>
    <w:uiPriority w:val="99"/>
    <w:unhideWhenUsed/>
    <w:rsid w:val="00952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25D"/>
    <w:rPr>
      <w:rFonts w:ascii="Calibri" w:eastAsia="Calibri" w:hAnsi="Calibri" w:cs="Times New Roman"/>
    </w:rPr>
  </w:style>
  <w:style w:type="character" w:styleId="CommentReference">
    <w:name w:val="annotation reference"/>
    <w:basedOn w:val="DefaultParagraphFont"/>
    <w:uiPriority w:val="99"/>
    <w:unhideWhenUsed/>
    <w:rsid w:val="00DF7DCD"/>
    <w:rPr>
      <w:sz w:val="16"/>
      <w:szCs w:val="16"/>
    </w:rPr>
  </w:style>
  <w:style w:type="paragraph" w:styleId="CommentText">
    <w:name w:val="annotation text"/>
    <w:basedOn w:val="Normal"/>
    <w:link w:val="CommentTextChar"/>
    <w:uiPriority w:val="99"/>
    <w:unhideWhenUsed/>
    <w:rsid w:val="00DF7DCD"/>
    <w:pPr>
      <w:spacing w:line="240" w:lineRule="auto"/>
    </w:pPr>
    <w:rPr>
      <w:sz w:val="20"/>
      <w:szCs w:val="20"/>
    </w:rPr>
  </w:style>
  <w:style w:type="character" w:customStyle="1" w:styleId="CommentTextChar">
    <w:name w:val="Comment Text Char"/>
    <w:basedOn w:val="DefaultParagraphFont"/>
    <w:link w:val="CommentText"/>
    <w:uiPriority w:val="99"/>
    <w:rsid w:val="00DF7DC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unhideWhenUsed/>
    <w:rsid w:val="00DF7DCD"/>
    <w:rPr>
      <w:b/>
      <w:bCs/>
    </w:rPr>
  </w:style>
  <w:style w:type="character" w:customStyle="1" w:styleId="CommentSubjectChar">
    <w:name w:val="Comment Subject Char"/>
    <w:basedOn w:val="CommentTextChar"/>
    <w:link w:val="CommentSubject"/>
    <w:uiPriority w:val="99"/>
    <w:rsid w:val="00DF7DCD"/>
    <w:rPr>
      <w:rFonts w:ascii="Calibri" w:eastAsia="Calibri" w:hAnsi="Calibri" w:cs="Times New Roman"/>
      <w:b/>
      <w:bCs/>
      <w:sz w:val="20"/>
      <w:szCs w:val="20"/>
    </w:rPr>
  </w:style>
  <w:style w:type="table" w:styleId="LightGrid">
    <w:name w:val="Light Grid"/>
    <w:basedOn w:val="TableNormal"/>
    <w:uiPriority w:val="62"/>
    <w:rsid w:val="00DF7DCD"/>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ListParagraph">
    <w:name w:val="List Paragraph"/>
    <w:basedOn w:val="Normal"/>
    <w:uiPriority w:val="34"/>
    <w:qFormat/>
    <w:rsid w:val="0031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982360">
      <w:bodyDiv w:val="1"/>
      <w:marLeft w:val="0"/>
      <w:marRight w:val="0"/>
      <w:marTop w:val="0"/>
      <w:marBottom w:val="0"/>
      <w:divBdr>
        <w:top w:val="none" w:sz="0" w:space="0" w:color="auto"/>
        <w:left w:val="none" w:sz="0" w:space="0" w:color="auto"/>
        <w:bottom w:val="none" w:sz="0" w:space="0" w:color="auto"/>
        <w:right w:val="none" w:sz="0" w:space="0" w:color="auto"/>
      </w:divBdr>
    </w:div>
    <w:div w:id="690571873">
      <w:bodyDiv w:val="1"/>
      <w:marLeft w:val="0"/>
      <w:marRight w:val="0"/>
      <w:marTop w:val="0"/>
      <w:marBottom w:val="0"/>
      <w:divBdr>
        <w:top w:val="none" w:sz="0" w:space="0" w:color="auto"/>
        <w:left w:val="none" w:sz="0" w:space="0" w:color="auto"/>
        <w:bottom w:val="none" w:sz="0" w:space="0" w:color="auto"/>
        <w:right w:val="none" w:sz="0" w:space="0" w:color="auto"/>
      </w:divBdr>
    </w:div>
    <w:div w:id="12316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4C6B9-2117-4C60-961F-B8A3672DB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14039C7D.dotm</Template>
  <TotalTime>17</TotalTime>
  <Pages>16</Pages>
  <Words>3325</Words>
  <Characters>18958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22239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 Alysan</dc:creator>
  <cp:lastModifiedBy>t53563</cp:lastModifiedBy>
  <cp:revision>4</cp:revision>
  <cp:lastPrinted>2016-10-13T16:20:00Z</cp:lastPrinted>
  <dcterms:created xsi:type="dcterms:W3CDTF">2016-10-13T17:42:00Z</dcterms:created>
  <dcterms:modified xsi:type="dcterms:W3CDTF">2016-10-13T17:58:00Z</dcterms:modified>
</cp:coreProperties>
</file>